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A5D8C7E" w14:textId="19301485" w:rsidR="007075B2" w:rsidRPr="007075B2" w:rsidRDefault="006843F6" w:rsidP="009E5A7A">
      <w:pPr>
        <w:jc w:val="both"/>
        <w:rPr>
          <w:b/>
          <w:bCs/>
          <w:color w:val="000000" w:themeColor="text1"/>
        </w:rPr>
      </w:pPr>
      <w:bookmarkStart w:id="0" w:name="_Hlk93935974"/>
      <w:bookmarkStart w:id="1" w:name="_Toc412125080"/>
      <w:r>
        <w:rPr>
          <w:b/>
          <w:bCs/>
        </w:rPr>
        <w:t>Haljala-Kukruse</w:t>
      </w:r>
      <w:r w:rsidR="00857809">
        <w:rPr>
          <w:b/>
          <w:bCs/>
        </w:rPr>
        <w:t xml:space="preserve"> </w:t>
      </w:r>
      <w:r w:rsidR="00857809" w:rsidRPr="00857809">
        <w:rPr>
          <w:b/>
          <w:bCs/>
        </w:rPr>
        <w:t>vahelise 2+2</w:t>
      </w:r>
      <w:r>
        <w:rPr>
          <w:b/>
          <w:bCs/>
        </w:rPr>
        <w:t xml:space="preserve"> maanteelõigu</w:t>
      </w:r>
      <w:r w:rsidR="007075B2" w:rsidRPr="007075B2">
        <w:rPr>
          <w:b/>
          <w:bCs/>
        </w:rPr>
        <w:t xml:space="preserve"> riigi eriplaneering</w:t>
      </w:r>
      <w:r w:rsidR="002E4AB0">
        <w:rPr>
          <w:b/>
          <w:bCs/>
        </w:rPr>
        <w:t>u</w:t>
      </w:r>
      <w:r w:rsidR="007075B2" w:rsidRPr="007075B2">
        <w:rPr>
          <w:b/>
          <w:bCs/>
        </w:rPr>
        <w:t xml:space="preserve"> </w:t>
      </w:r>
      <w:r w:rsidR="002E4AB0">
        <w:rPr>
          <w:b/>
          <w:bCs/>
        </w:rPr>
        <w:t>a</w:t>
      </w:r>
      <w:r w:rsidR="007075B2" w:rsidRPr="007075B2">
        <w:rPr>
          <w:b/>
          <w:bCs/>
        </w:rPr>
        <w:t>sukoha eelvalik</w:t>
      </w:r>
      <w:bookmarkEnd w:id="0"/>
      <w:r w:rsidR="007075B2" w:rsidRPr="007075B2">
        <w:rPr>
          <w:rFonts w:eastAsiaTheme="minorHAnsi"/>
          <w:b/>
          <w:bCs/>
        </w:rPr>
        <w:t>u</w:t>
      </w:r>
      <w:r w:rsidR="007075B2" w:rsidRPr="007075B2">
        <w:rPr>
          <w:b/>
          <w:bCs/>
          <w:color w:val="000000" w:themeColor="text1"/>
        </w:rPr>
        <w:t xml:space="preserve">, asjakohaste mõjude hindamise, sh KSH esimese etapi aruande koostamine </w:t>
      </w:r>
      <w:r w:rsidR="00BD7B80" w:rsidRPr="00BD7B80">
        <w:rPr>
          <w:b/>
          <w:bCs/>
          <w:color w:val="000000" w:themeColor="text1"/>
        </w:rPr>
        <w:t>Regionaal- ja Põllumajandusministeerium</w:t>
      </w:r>
      <w:r w:rsidR="007075B2" w:rsidRPr="00A37110">
        <w:rPr>
          <w:b/>
          <w:bCs/>
          <w:color w:val="000000" w:themeColor="text1"/>
        </w:rPr>
        <w:t>ile</w:t>
      </w:r>
    </w:p>
    <w:p w14:paraId="3DB95AB6" w14:textId="77777777" w:rsidR="00EF2E71" w:rsidRPr="007075B2" w:rsidRDefault="00EF2E71" w:rsidP="00CE467B">
      <w:pPr>
        <w:jc w:val="both"/>
        <w:rPr>
          <w:b/>
        </w:rPr>
      </w:pPr>
    </w:p>
    <w:bookmarkEnd w:id="1"/>
    <w:p w14:paraId="63CCD7B9" w14:textId="77777777" w:rsidR="007E688A" w:rsidRPr="007075B2" w:rsidRDefault="007E688A" w:rsidP="00765216">
      <w:pPr>
        <w:pStyle w:val="ListParagraph"/>
        <w:ind w:left="0"/>
      </w:pPr>
    </w:p>
    <w:p w14:paraId="0114F805" w14:textId="0AA32DBD" w:rsidR="00223033" w:rsidRDefault="00223033" w:rsidP="00E45A09">
      <w:pPr>
        <w:pStyle w:val="ListParagraph"/>
        <w:numPr>
          <w:ilvl w:val="0"/>
          <w:numId w:val="1"/>
        </w:numPr>
        <w:autoSpaceDE w:val="0"/>
        <w:autoSpaceDN w:val="0"/>
        <w:adjustRightInd w:val="0"/>
        <w:ind w:left="0" w:hanging="357"/>
        <w:contextualSpacing w:val="0"/>
        <w:jc w:val="both"/>
        <w:rPr>
          <w:b/>
          <w:bCs/>
        </w:rPr>
      </w:pPr>
      <w:r w:rsidRPr="005E6F2A">
        <w:rPr>
          <w:b/>
          <w:bCs/>
        </w:rPr>
        <w:t>Hankija võrdleb ja hindab kõiki vastavaks tunnistatud pakkumusi hindamiskriteeriumide alusel.</w:t>
      </w:r>
      <w:r w:rsidR="00CE467B" w:rsidRPr="005E6F2A">
        <w:rPr>
          <w:b/>
          <w:bCs/>
        </w:rPr>
        <w:t xml:space="preserve"> </w:t>
      </w:r>
      <w:r w:rsidRPr="005E6F2A">
        <w:rPr>
          <w:b/>
          <w:bCs/>
        </w:rPr>
        <w:t>Pakkumuste hindamiskriteeriumid 100 väärtuspunkti skaalal on järgnevad:</w:t>
      </w:r>
    </w:p>
    <w:p w14:paraId="4BCB0CAF" w14:textId="77777777" w:rsidR="005E2F36" w:rsidRPr="005E6F2A" w:rsidRDefault="005E2F36" w:rsidP="005E2F36">
      <w:pPr>
        <w:pStyle w:val="ListParagraph"/>
        <w:autoSpaceDE w:val="0"/>
        <w:autoSpaceDN w:val="0"/>
        <w:adjustRightInd w:val="0"/>
        <w:ind w:left="0"/>
        <w:contextualSpacing w:val="0"/>
        <w:jc w:val="both"/>
        <w:rPr>
          <w:b/>
          <w:bCs/>
        </w:rPr>
      </w:pPr>
    </w:p>
    <w:tbl>
      <w:tblPr>
        <w:tblStyle w:val="TableGrid"/>
        <w:tblW w:w="0" w:type="auto"/>
        <w:tblInd w:w="-5" w:type="dxa"/>
        <w:tblLook w:val="04A0" w:firstRow="1" w:lastRow="0" w:firstColumn="1" w:lastColumn="0" w:noHBand="0" w:noVBand="1"/>
      </w:tblPr>
      <w:tblGrid>
        <w:gridCol w:w="7088"/>
        <w:gridCol w:w="1979"/>
      </w:tblGrid>
      <w:tr w:rsidR="00223033" w:rsidRPr="007075B2" w14:paraId="40BC62A8" w14:textId="77777777" w:rsidTr="00765216">
        <w:tc>
          <w:tcPr>
            <w:tcW w:w="7088" w:type="dxa"/>
          </w:tcPr>
          <w:p w14:paraId="4A5F30A2" w14:textId="77777777" w:rsidR="00223033" w:rsidRPr="007075B2" w:rsidRDefault="00223033" w:rsidP="00765216">
            <w:pPr>
              <w:pStyle w:val="ListParagraph"/>
              <w:autoSpaceDE w:val="0"/>
              <w:autoSpaceDN w:val="0"/>
              <w:adjustRightInd w:val="0"/>
              <w:ind w:left="0"/>
              <w:jc w:val="both"/>
            </w:pPr>
            <w:r w:rsidRPr="007075B2">
              <w:rPr>
                <w:b/>
                <w:bCs/>
              </w:rPr>
              <w:t>Kriteerium</w:t>
            </w:r>
          </w:p>
        </w:tc>
        <w:tc>
          <w:tcPr>
            <w:tcW w:w="1979" w:type="dxa"/>
          </w:tcPr>
          <w:p w14:paraId="41219776" w14:textId="0A52FBAA" w:rsidR="00223033" w:rsidRPr="007075B2" w:rsidRDefault="00223033" w:rsidP="00765216">
            <w:pPr>
              <w:autoSpaceDE w:val="0"/>
              <w:autoSpaceDN w:val="0"/>
              <w:adjustRightInd w:val="0"/>
              <w:jc w:val="both"/>
            </w:pPr>
            <w:r w:rsidRPr="007075B2">
              <w:rPr>
                <w:b/>
                <w:bCs/>
              </w:rPr>
              <w:t>Maksimaalsed</w:t>
            </w:r>
            <w:r w:rsidR="00CE467B" w:rsidRPr="007075B2">
              <w:rPr>
                <w:b/>
                <w:bCs/>
              </w:rPr>
              <w:t xml:space="preserve"> </w:t>
            </w:r>
            <w:r w:rsidRPr="007075B2">
              <w:rPr>
                <w:b/>
                <w:bCs/>
              </w:rPr>
              <w:t>väärtuspunktid</w:t>
            </w:r>
          </w:p>
        </w:tc>
      </w:tr>
      <w:tr w:rsidR="00223033" w:rsidRPr="007075B2" w14:paraId="43C3334C" w14:textId="77777777" w:rsidTr="00765216">
        <w:tc>
          <w:tcPr>
            <w:tcW w:w="7088" w:type="dxa"/>
          </w:tcPr>
          <w:p w14:paraId="1621AA3D" w14:textId="03BF4342" w:rsidR="00223033" w:rsidRPr="007075B2" w:rsidRDefault="00223033" w:rsidP="00B54BDD">
            <w:pPr>
              <w:pStyle w:val="ListParagraph"/>
              <w:numPr>
                <w:ilvl w:val="0"/>
                <w:numId w:val="4"/>
              </w:numPr>
              <w:autoSpaceDE w:val="0"/>
              <w:autoSpaceDN w:val="0"/>
              <w:adjustRightInd w:val="0"/>
              <w:jc w:val="both"/>
            </w:pPr>
            <w:r w:rsidRPr="007075B2">
              <w:t>Pakkumuse maksumus</w:t>
            </w:r>
          </w:p>
        </w:tc>
        <w:tc>
          <w:tcPr>
            <w:tcW w:w="1979" w:type="dxa"/>
          </w:tcPr>
          <w:p w14:paraId="248CAC85" w14:textId="31C68548" w:rsidR="00223033" w:rsidRPr="007075B2" w:rsidRDefault="00657613" w:rsidP="00765216">
            <w:pPr>
              <w:pStyle w:val="ListParagraph"/>
              <w:autoSpaceDE w:val="0"/>
              <w:autoSpaceDN w:val="0"/>
              <w:adjustRightInd w:val="0"/>
              <w:ind w:left="0"/>
              <w:jc w:val="both"/>
            </w:pPr>
            <w:r>
              <w:t>45</w:t>
            </w:r>
            <w:r w:rsidRPr="007075B2">
              <w:t xml:space="preserve"> </w:t>
            </w:r>
          </w:p>
        </w:tc>
      </w:tr>
      <w:tr w:rsidR="00223033" w:rsidRPr="007075B2" w14:paraId="5D2252C2" w14:textId="77777777" w:rsidTr="00765216">
        <w:trPr>
          <w:trHeight w:val="1795"/>
        </w:trPr>
        <w:tc>
          <w:tcPr>
            <w:tcW w:w="7088" w:type="dxa"/>
          </w:tcPr>
          <w:p w14:paraId="558ED683" w14:textId="1EEFA62D" w:rsidR="00B452A9" w:rsidRPr="005E6F2A" w:rsidRDefault="00B452A9" w:rsidP="00B54BDD">
            <w:pPr>
              <w:pStyle w:val="ListParagraph"/>
              <w:numPr>
                <w:ilvl w:val="0"/>
                <w:numId w:val="4"/>
              </w:numPr>
            </w:pPr>
            <w:r w:rsidRPr="005E6F2A">
              <w:t>Teenuse kvaliteet, mis sisaldab:</w:t>
            </w:r>
          </w:p>
          <w:p w14:paraId="76A69FE0" w14:textId="027BA5A3" w:rsidR="007E1D14" w:rsidRPr="005E6F2A" w:rsidRDefault="00A83C42" w:rsidP="00B54BDD">
            <w:pPr>
              <w:pStyle w:val="ListParagraph"/>
              <w:numPr>
                <w:ilvl w:val="1"/>
                <w:numId w:val="4"/>
              </w:numPr>
            </w:pPr>
            <w:bookmarkStart w:id="2" w:name="_Hlk97211158"/>
            <w:r>
              <w:t xml:space="preserve"> t</w:t>
            </w:r>
            <w:r w:rsidR="001A2D27" w:rsidRPr="005E6F2A">
              <w:t>öö*</w:t>
            </w:r>
            <w:r w:rsidR="00266843" w:rsidRPr="005E6F2A">
              <w:t xml:space="preserve"> </w:t>
            </w:r>
            <w:r w:rsidR="00A37110">
              <w:t xml:space="preserve">teostamise </w:t>
            </w:r>
            <w:r w:rsidR="00266843" w:rsidRPr="005E6F2A">
              <w:t>metoodika kirjeldus</w:t>
            </w:r>
            <w:r>
              <w:t>t;</w:t>
            </w:r>
          </w:p>
          <w:p w14:paraId="75E40294" w14:textId="5C8E0254" w:rsidR="00242462" w:rsidRPr="005E6F2A" w:rsidRDefault="00A83C42" w:rsidP="00B54BDD">
            <w:pPr>
              <w:pStyle w:val="ListParagraph"/>
              <w:numPr>
                <w:ilvl w:val="1"/>
                <w:numId w:val="4"/>
              </w:numPr>
            </w:pPr>
            <w:r>
              <w:t xml:space="preserve"> t</w:t>
            </w:r>
            <w:r w:rsidR="001A2D27" w:rsidRPr="005E6F2A">
              <w:t>öö</w:t>
            </w:r>
            <w:r w:rsidR="00242462" w:rsidRPr="005E6F2A">
              <w:t xml:space="preserve"> läbiviimise</w:t>
            </w:r>
            <w:r w:rsidR="00242462" w:rsidRPr="005E6F2A">
              <w:rPr>
                <w:bCs/>
              </w:rPr>
              <w:t xml:space="preserve"> aja- ja tegevuskava;</w:t>
            </w:r>
            <w:r w:rsidR="00242462" w:rsidRPr="005E6F2A">
              <w:t xml:space="preserve">   </w:t>
            </w:r>
          </w:p>
          <w:p w14:paraId="3F33FD29" w14:textId="444BF926" w:rsidR="00B54BDD" w:rsidRPr="005E6F2A" w:rsidRDefault="00A83C42" w:rsidP="00B54BDD">
            <w:pPr>
              <w:pStyle w:val="ListParagraph"/>
              <w:numPr>
                <w:ilvl w:val="1"/>
                <w:numId w:val="4"/>
              </w:numPr>
            </w:pPr>
            <w:r>
              <w:t xml:space="preserve"> t</w:t>
            </w:r>
            <w:r w:rsidR="001A2D27" w:rsidRPr="005E6F2A">
              <w:t>öö</w:t>
            </w:r>
            <w:r w:rsidR="003F5620" w:rsidRPr="005E6F2A">
              <w:t xml:space="preserve"> </w:t>
            </w:r>
            <w:r w:rsidR="00266843" w:rsidRPr="005E6F2A">
              <w:t>läbiviimise</w:t>
            </w:r>
            <w:r w:rsidR="00266843" w:rsidRPr="005E6F2A">
              <w:rPr>
                <w:bCs/>
              </w:rPr>
              <w:t xml:space="preserve"> </w:t>
            </w:r>
            <w:r w:rsidR="007E1D14" w:rsidRPr="005E6F2A">
              <w:rPr>
                <w:bCs/>
              </w:rPr>
              <w:t>meeskonna koosseis</w:t>
            </w:r>
            <w:r w:rsidR="007B2F93" w:rsidRPr="005E6F2A">
              <w:rPr>
                <w:bCs/>
              </w:rPr>
              <w:t>u</w:t>
            </w:r>
            <w:r w:rsidR="007E1D14" w:rsidRPr="005E6F2A">
              <w:rPr>
                <w:bCs/>
              </w:rPr>
              <w:t xml:space="preserve"> ja rollide jaotus</w:t>
            </w:r>
            <w:r>
              <w:rPr>
                <w:bCs/>
              </w:rPr>
              <w:t>t;</w:t>
            </w:r>
            <w:bookmarkEnd w:id="2"/>
            <w:r w:rsidR="00CE47C1" w:rsidRPr="005E6F2A">
              <w:t xml:space="preserve"> </w:t>
            </w:r>
          </w:p>
          <w:p w14:paraId="3293C14D" w14:textId="31A202F8" w:rsidR="00223033" w:rsidRPr="005E6F2A" w:rsidRDefault="00A83C42" w:rsidP="00B54BDD">
            <w:pPr>
              <w:pStyle w:val="ListParagraph"/>
              <w:numPr>
                <w:ilvl w:val="1"/>
                <w:numId w:val="4"/>
              </w:numPr>
            </w:pPr>
            <w:r>
              <w:t xml:space="preserve"> t</w:t>
            </w:r>
            <w:r w:rsidR="00CE47C1" w:rsidRPr="005E6F2A">
              <w:t>öö läbiviimise metoodikaga ja läbiviimisega seotud riskide ning nende maandamiseks vajalike tegevuste kirjeldus</w:t>
            </w:r>
            <w:r>
              <w:t>t</w:t>
            </w:r>
            <w:r w:rsidR="00CE47C1" w:rsidRPr="005E6F2A">
              <w:t>.</w:t>
            </w:r>
          </w:p>
        </w:tc>
        <w:tc>
          <w:tcPr>
            <w:tcW w:w="1979" w:type="dxa"/>
          </w:tcPr>
          <w:p w14:paraId="696B86E1" w14:textId="16E05475" w:rsidR="00223033" w:rsidRPr="005E6F2A" w:rsidRDefault="00135245" w:rsidP="00765216">
            <w:pPr>
              <w:pStyle w:val="ListParagraph"/>
              <w:autoSpaceDE w:val="0"/>
              <w:autoSpaceDN w:val="0"/>
              <w:adjustRightInd w:val="0"/>
              <w:ind w:left="0"/>
              <w:jc w:val="both"/>
            </w:pPr>
            <w:r w:rsidRPr="005E6F2A">
              <w:t>50</w:t>
            </w:r>
          </w:p>
        </w:tc>
      </w:tr>
      <w:tr w:rsidR="00135245" w:rsidRPr="007075B2" w14:paraId="302B333B" w14:textId="77777777" w:rsidTr="009E5A7A">
        <w:trPr>
          <w:trHeight w:val="226"/>
        </w:trPr>
        <w:tc>
          <w:tcPr>
            <w:tcW w:w="7088" w:type="dxa"/>
          </w:tcPr>
          <w:p w14:paraId="4255C8FF" w14:textId="0826B1B6" w:rsidR="00135245" w:rsidRPr="005E6F2A" w:rsidRDefault="00135245" w:rsidP="009E5A7A">
            <w:pPr>
              <w:pStyle w:val="ListParagraph"/>
              <w:numPr>
                <w:ilvl w:val="0"/>
                <w:numId w:val="4"/>
              </w:numPr>
            </w:pPr>
            <w:r w:rsidRPr="005E6F2A">
              <w:rPr>
                <w:rFonts w:ascii="Georgia" w:hAnsi="Georgia"/>
                <w:sz w:val="22"/>
                <w:szCs w:val="22"/>
                <w:lang w:eastAsia="en-US"/>
              </w:rPr>
              <w:t>Töö- ja pereelu ühildamine hankelepingu täitmisel</w:t>
            </w:r>
          </w:p>
        </w:tc>
        <w:tc>
          <w:tcPr>
            <w:tcW w:w="1979" w:type="dxa"/>
          </w:tcPr>
          <w:p w14:paraId="700CA537" w14:textId="52B2BFF5" w:rsidR="00135245" w:rsidRPr="005E6F2A" w:rsidRDefault="00135245" w:rsidP="009E5A7A">
            <w:pPr>
              <w:pStyle w:val="ListParagraph"/>
              <w:autoSpaceDE w:val="0"/>
              <w:autoSpaceDN w:val="0"/>
              <w:adjustRightInd w:val="0"/>
              <w:ind w:left="0"/>
              <w:jc w:val="both"/>
            </w:pPr>
            <w:r w:rsidRPr="005E6F2A">
              <w:t>5</w:t>
            </w:r>
          </w:p>
        </w:tc>
      </w:tr>
      <w:tr w:rsidR="00223033" w:rsidRPr="007075B2" w14:paraId="2E3620FE" w14:textId="77777777" w:rsidTr="00765216">
        <w:tc>
          <w:tcPr>
            <w:tcW w:w="7088" w:type="dxa"/>
          </w:tcPr>
          <w:p w14:paraId="08CDC155" w14:textId="77777777" w:rsidR="00223033" w:rsidRPr="007075B2" w:rsidRDefault="00223033" w:rsidP="009E5A7A">
            <w:pPr>
              <w:pStyle w:val="ListParagraph"/>
              <w:autoSpaceDE w:val="0"/>
              <w:autoSpaceDN w:val="0"/>
              <w:adjustRightInd w:val="0"/>
              <w:ind w:left="0"/>
              <w:jc w:val="right"/>
            </w:pPr>
            <w:r w:rsidRPr="007075B2">
              <w:t>KOKKU</w:t>
            </w:r>
          </w:p>
        </w:tc>
        <w:tc>
          <w:tcPr>
            <w:tcW w:w="1979" w:type="dxa"/>
          </w:tcPr>
          <w:p w14:paraId="0CD04D67" w14:textId="3429509C" w:rsidR="00223033" w:rsidRPr="007075B2" w:rsidRDefault="00223033" w:rsidP="00765216">
            <w:pPr>
              <w:autoSpaceDE w:val="0"/>
              <w:autoSpaceDN w:val="0"/>
              <w:adjustRightInd w:val="0"/>
              <w:jc w:val="both"/>
            </w:pPr>
            <w:r w:rsidRPr="007075B2">
              <w:t>100</w:t>
            </w:r>
          </w:p>
        </w:tc>
      </w:tr>
    </w:tbl>
    <w:p w14:paraId="1DE6A4B2" w14:textId="2F58A79B" w:rsidR="008D51D4" w:rsidRDefault="001A2D27" w:rsidP="00765216">
      <w:pPr>
        <w:pStyle w:val="ListParagraph"/>
        <w:autoSpaceDE w:val="0"/>
        <w:autoSpaceDN w:val="0"/>
        <w:adjustRightInd w:val="0"/>
        <w:ind w:left="0"/>
        <w:contextualSpacing w:val="0"/>
        <w:jc w:val="both"/>
        <w:rPr>
          <w:i/>
          <w:iCs/>
        </w:rPr>
      </w:pPr>
      <w:r w:rsidRPr="007075B2">
        <w:t>*</w:t>
      </w:r>
      <w:r w:rsidR="00765216" w:rsidRPr="007075B2">
        <w:t xml:space="preserve"> </w:t>
      </w:r>
      <w:r w:rsidR="00A83C42">
        <w:rPr>
          <w:i/>
          <w:iCs/>
        </w:rPr>
        <w:t>t</w:t>
      </w:r>
      <w:r w:rsidRPr="007075B2">
        <w:rPr>
          <w:i/>
          <w:iCs/>
        </w:rPr>
        <w:t xml:space="preserve">öö </w:t>
      </w:r>
      <w:r w:rsidR="00765216" w:rsidRPr="007075B2">
        <w:rPr>
          <w:i/>
          <w:iCs/>
        </w:rPr>
        <w:t>on kirjeldatud tehnilises kirjelduses.</w:t>
      </w:r>
      <w:r w:rsidRPr="007075B2">
        <w:rPr>
          <w:i/>
          <w:iCs/>
        </w:rPr>
        <w:t xml:space="preserve"> </w:t>
      </w:r>
    </w:p>
    <w:p w14:paraId="464984D4" w14:textId="77777777" w:rsidR="00B54BDD" w:rsidRPr="007075B2" w:rsidRDefault="00B54BDD" w:rsidP="00765216">
      <w:pPr>
        <w:pStyle w:val="ListParagraph"/>
        <w:autoSpaceDE w:val="0"/>
        <w:autoSpaceDN w:val="0"/>
        <w:adjustRightInd w:val="0"/>
        <w:ind w:left="0"/>
        <w:contextualSpacing w:val="0"/>
        <w:jc w:val="both"/>
        <w:rPr>
          <w:i/>
          <w:iCs/>
        </w:rPr>
      </w:pPr>
    </w:p>
    <w:p w14:paraId="4B3D8841" w14:textId="55CBD171" w:rsidR="002A36B0" w:rsidRDefault="00857809" w:rsidP="002A36B0">
      <w:pPr>
        <w:pStyle w:val="ListParagraph"/>
        <w:numPr>
          <w:ilvl w:val="1"/>
          <w:numId w:val="7"/>
        </w:numPr>
        <w:autoSpaceDE w:val="0"/>
        <w:autoSpaceDN w:val="0"/>
        <w:adjustRightInd w:val="0"/>
        <w:jc w:val="both"/>
      </w:pPr>
      <w:r>
        <w:t xml:space="preserve"> </w:t>
      </w:r>
      <w:r w:rsidR="00223033" w:rsidRPr="007075B2">
        <w:t>Eduka pakkumuse valiku aluseks on majanduslik soodsus (parim hinna ja kvaliteedi suhe), mis selgitatakse välja väärtuspunktide omistamise meetodil hindamiskriteeriumide alusel. Pakkumusele antud väärtuspunktid summeeritakse. Väärtuspunkte omistatakse täpsusega kaks kohta pärast koma.</w:t>
      </w:r>
      <w:r w:rsidR="00B077CE">
        <w:t xml:space="preserve"> </w:t>
      </w:r>
    </w:p>
    <w:p w14:paraId="1D0AFCF0" w14:textId="69EC4844" w:rsidR="00223033" w:rsidRPr="007075B2" w:rsidRDefault="00857809" w:rsidP="002A36B0">
      <w:pPr>
        <w:pStyle w:val="ListParagraph"/>
        <w:numPr>
          <w:ilvl w:val="1"/>
          <w:numId w:val="7"/>
        </w:numPr>
        <w:autoSpaceDE w:val="0"/>
        <w:autoSpaceDN w:val="0"/>
        <w:adjustRightInd w:val="0"/>
        <w:jc w:val="both"/>
      </w:pPr>
      <w:r>
        <w:t xml:space="preserve"> </w:t>
      </w:r>
      <w:r w:rsidR="00223033" w:rsidRPr="007075B2">
        <w:t xml:space="preserve">Hankija tunnistab edukaks enim väärtuspunkte saanud pakkumuse. Võrdsete väärtuspunktidega pakkumuste korral tunnistatakse edukaks pakkumus, millele on </w:t>
      </w:r>
      <w:r w:rsidR="00223033" w:rsidRPr="00480B89">
        <w:t xml:space="preserve">omistatud </w:t>
      </w:r>
      <w:r w:rsidR="008A6DE8" w:rsidRPr="00480B89">
        <w:t>„</w:t>
      </w:r>
      <w:r w:rsidR="00B34C9E" w:rsidRPr="00480B89">
        <w:t>T</w:t>
      </w:r>
      <w:r w:rsidR="00CE7B1A" w:rsidRPr="00480B89">
        <w:t>öö läbiviimise metoodika kirjeldus</w:t>
      </w:r>
      <w:r w:rsidR="008A6DE8" w:rsidRPr="00480B89">
        <w:t xml:space="preserve">“ </w:t>
      </w:r>
      <w:r w:rsidR="009E0786">
        <w:t>ala</w:t>
      </w:r>
      <w:r w:rsidR="008A6DE8" w:rsidRPr="00480B89">
        <w:t>k</w:t>
      </w:r>
      <w:r w:rsidR="00223033" w:rsidRPr="00480B89">
        <w:t xml:space="preserve">riteeriumi eest suurim arv väärtuspunkte. </w:t>
      </w:r>
      <w:r w:rsidR="00CE467B" w:rsidRPr="00480B89">
        <w:t>Juhul, kui ka seejärel on väärtuspunktid võrdsed, tunnistatakse edukaks pakkumus, millele on omistatud „</w:t>
      </w:r>
      <w:r w:rsidR="00CE7B1A" w:rsidRPr="00480B89">
        <w:t>Töö läbiviimise aja- ja tegevuskava</w:t>
      </w:r>
      <w:r w:rsidR="00CE467B" w:rsidRPr="00480B89">
        <w:t xml:space="preserve">“ </w:t>
      </w:r>
      <w:r w:rsidR="009E0786">
        <w:t>ala</w:t>
      </w:r>
      <w:r w:rsidR="00CE467B" w:rsidRPr="00480B89">
        <w:t>kriteeriumi eest suurim arv väärtuspunkte. Juhul, kui ka seejärel on väärtuspunktid võrdsed, tunnistatakse edukaks pakkumus, millele on omistatud „</w:t>
      </w:r>
      <w:r w:rsidR="000440BB" w:rsidRPr="00480B89">
        <w:t>Töö läbiviimise meeskonna koosseis ja rollide jaotus</w:t>
      </w:r>
      <w:r w:rsidR="00CE467B" w:rsidRPr="00480B89">
        <w:t xml:space="preserve">“ </w:t>
      </w:r>
      <w:r w:rsidR="009E0786">
        <w:t>ala</w:t>
      </w:r>
      <w:r w:rsidR="00CE467B" w:rsidRPr="00480B89">
        <w:t xml:space="preserve">kriteeriumi eest suurim arv väärtuspunkte. </w:t>
      </w:r>
      <w:r w:rsidR="00CE47C1" w:rsidRPr="00480B89">
        <w:t xml:space="preserve">Juhul, kui ka seejärel on väärtuspunktid võrdsed, tunnistatakse edukaks pakkumus, millele on omistatud „Töö läbiviimise metoodikaga ja läbiviimisega seotud riskide ning nende maandamiseks vajalike tegevuste kirjeldus“ </w:t>
      </w:r>
      <w:r w:rsidR="009E0786">
        <w:t>ala</w:t>
      </w:r>
      <w:r w:rsidR="00CE47C1" w:rsidRPr="00480B89">
        <w:t xml:space="preserve">kriteeriumi eest suurim arv väärtuspunkte. </w:t>
      </w:r>
      <w:r w:rsidR="009E0786" w:rsidRPr="009E0786">
        <w:t xml:space="preserve">Juhul, kui pakkumuste väärtuspunktid on võrdsed ka peale seda, siis korraldab hankija eduka pakkumuse väljaselgitamiseks liisuheitmise, võimaldades võrdselt väärtuspunkte saanud pakkumuse esitanud pakkujatel liisuheitmist jälgida interneti-teel reaalajas. Liisuheitmine protokollitakse.  </w:t>
      </w:r>
      <w:r w:rsidR="00E37629" w:rsidRPr="007075B2">
        <w:t xml:space="preserve"> </w:t>
      </w:r>
      <w:r w:rsidR="000440BB" w:rsidRPr="007075B2">
        <w:t xml:space="preserve"> </w:t>
      </w:r>
    </w:p>
    <w:p w14:paraId="6D46E854" w14:textId="1264C9C1" w:rsidR="00223033" w:rsidRPr="007075B2" w:rsidRDefault="00857809" w:rsidP="00790FBA">
      <w:pPr>
        <w:pStyle w:val="ListParagraph"/>
        <w:numPr>
          <w:ilvl w:val="1"/>
          <w:numId w:val="7"/>
        </w:numPr>
        <w:autoSpaceDE w:val="0"/>
        <w:autoSpaceDN w:val="0"/>
        <w:adjustRightInd w:val="0"/>
        <w:jc w:val="both"/>
      </w:pPr>
      <w:r>
        <w:rPr>
          <w:bCs/>
        </w:rPr>
        <w:t xml:space="preserve"> </w:t>
      </w:r>
      <w:r w:rsidR="00223033" w:rsidRPr="00790FBA">
        <w:rPr>
          <w:bCs/>
        </w:rPr>
        <w:t>Pakkumuste maksumuste hindamine toimub järgmiselt:</w:t>
      </w:r>
      <w:r w:rsidR="00B077CE" w:rsidRPr="00790FBA">
        <w:rPr>
          <w:bCs/>
        </w:rPr>
        <w:t xml:space="preserve"> </w:t>
      </w:r>
      <w:r w:rsidR="00223033" w:rsidRPr="007075B2">
        <w:t>Madalaima maksumusega pakkumus saab maksimaalse arvu väärtuspunkte (</w:t>
      </w:r>
      <w:r w:rsidR="00657613">
        <w:t>45</w:t>
      </w:r>
      <w:r w:rsidR="00223033" w:rsidRPr="007075B2">
        <w:t>), järgmised pakkumused saavad väärtuspunkte proportsionaalselt vähem. Järgmiste pakkumuste punktisummad arvutatakse valemiga:</w:t>
      </w:r>
      <w:r w:rsidR="00CE467B" w:rsidRPr="007075B2">
        <w:t xml:space="preserve"> </w:t>
      </w:r>
      <w:r w:rsidR="00A34416" w:rsidRPr="00A34416">
        <w:rPr>
          <w:b/>
          <w:bCs/>
        </w:rPr>
        <w:t>"</w:t>
      </w:r>
      <w:r w:rsidR="00657613">
        <w:rPr>
          <w:b/>
          <w:bCs/>
        </w:rPr>
        <w:t>45</w:t>
      </w:r>
      <w:r w:rsidR="00A34416" w:rsidRPr="00A34416">
        <w:rPr>
          <w:b/>
          <w:bCs/>
        </w:rPr>
        <w:t>" - ("pakkumuse väärtus" - madalaim väärtus") / "suurim väärtus" * "</w:t>
      </w:r>
      <w:r w:rsidR="00657613">
        <w:rPr>
          <w:b/>
          <w:bCs/>
        </w:rPr>
        <w:t>45</w:t>
      </w:r>
      <w:r w:rsidR="00A34416" w:rsidRPr="00A34416">
        <w:rPr>
          <w:b/>
          <w:bCs/>
        </w:rPr>
        <w:t>"</w:t>
      </w:r>
      <w:r w:rsidR="00223033" w:rsidRPr="00790FBA">
        <w:rPr>
          <w:b/>
          <w:bCs/>
        </w:rPr>
        <w:t>.</w:t>
      </w:r>
      <w:r w:rsidR="00CE467B" w:rsidRPr="00790FBA">
        <w:rPr>
          <w:b/>
          <w:bCs/>
        </w:rPr>
        <w:t xml:space="preserve"> </w:t>
      </w:r>
      <w:r w:rsidR="00223033" w:rsidRPr="007075B2">
        <w:t>Tulemus ümardatakse täpsusega kaks kohta pärast koma</w:t>
      </w:r>
      <w:r w:rsidR="000A68C3">
        <w:t>, aluseks võetakse käibemaksuta maksumused</w:t>
      </w:r>
      <w:r w:rsidR="00223033" w:rsidRPr="007075B2">
        <w:t>.</w:t>
      </w:r>
    </w:p>
    <w:p w14:paraId="544BD49A" w14:textId="0857846D" w:rsidR="00223033" w:rsidRPr="007075B2" w:rsidRDefault="00857809" w:rsidP="00790FBA">
      <w:pPr>
        <w:pStyle w:val="ListParagraph"/>
        <w:numPr>
          <w:ilvl w:val="1"/>
          <w:numId w:val="7"/>
        </w:numPr>
        <w:autoSpaceDE w:val="0"/>
        <w:autoSpaceDN w:val="0"/>
        <w:adjustRightInd w:val="0"/>
        <w:jc w:val="both"/>
      </w:pPr>
      <w:r>
        <w:t xml:space="preserve"> </w:t>
      </w:r>
      <w:r w:rsidR="009014E7" w:rsidRPr="007075B2">
        <w:t>Pakkumusi võrreldakse ja hinnatakse vähemalt kolme sõltumatu hindaja poolt konsensuslikult</w:t>
      </w:r>
      <w:r w:rsidR="00604CE6" w:rsidRPr="007075B2">
        <w:t>.</w:t>
      </w:r>
    </w:p>
    <w:p w14:paraId="0213E4AF" w14:textId="18C5F3B3" w:rsidR="00790FBA" w:rsidRDefault="00857809" w:rsidP="00790FBA">
      <w:pPr>
        <w:pStyle w:val="ListParagraph"/>
        <w:numPr>
          <w:ilvl w:val="1"/>
          <w:numId w:val="7"/>
        </w:numPr>
        <w:autoSpaceDE w:val="0"/>
        <w:autoSpaceDN w:val="0"/>
        <w:adjustRightInd w:val="0"/>
        <w:jc w:val="both"/>
      </w:pPr>
      <w:r>
        <w:lastRenderedPageBreak/>
        <w:t xml:space="preserve"> </w:t>
      </w:r>
      <w:r w:rsidR="00223033" w:rsidRPr="007075B2">
        <w:t xml:space="preserve">Hindajad lähtuvad hindamisel </w:t>
      </w:r>
      <w:r w:rsidR="00B34C9E" w:rsidRPr="007075B2">
        <w:t xml:space="preserve">riigihanke alusdokumentides </w:t>
      </w:r>
      <w:r w:rsidR="00223033" w:rsidRPr="007075B2">
        <w:t>esitatud hindamismetoodikas kirjeldatud põhimõtetest ning esitavad hindamise põhjendatud tulemused kollektiivses protokollis, mis on kõigi hindajate poolt allkirjastatud.</w:t>
      </w:r>
    </w:p>
    <w:p w14:paraId="426AF2D8" w14:textId="5213B028" w:rsidR="00790FBA" w:rsidRPr="00790FBA" w:rsidRDefault="00857809" w:rsidP="00790FBA">
      <w:pPr>
        <w:pStyle w:val="ListParagraph"/>
        <w:numPr>
          <w:ilvl w:val="1"/>
          <w:numId w:val="7"/>
        </w:numPr>
        <w:autoSpaceDE w:val="0"/>
        <w:autoSpaceDN w:val="0"/>
        <w:adjustRightInd w:val="0"/>
        <w:jc w:val="both"/>
      </w:pPr>
      <w:r>
        <w:rPr>
          <w:rFonts w:ascii="Georgia" w:hAnsi="Georgia"/>
          <w:bCs/>
          <w:sz w:val="22"/>
          <w:szCs w:val="22"/>
        </w:rPr>
        <w:t xml:space="preserve"> </w:t>
      </w:r>
      <w:r w:rsidR="00A37110">
        <w:t xml:space="preserve">Kui vastavaks on tunnistatud üks pakkumus, siis pakkumuse sisulist hindamist hindamiskriteeriumide 2 ja </w:t>
      </w:r>
      <w:r w:rsidR="00657613">
        <w:t xml:space="preserve">3 </w:t>
      </w:r>
      <w:r w:rsidR="00A37110">
        <w:t>(kui pakkuja on kirjelduse esitanud) osas ei pea läbi viima, vaid pakkumusele võib omistada automaatselt maksimaalsed väärtuspunktid.</w:t>
      </w:r>
    </w:p>
    <w:p w14:paraId="74F2F91C" w14:textId="77777777" w:rsidR="00790FBA" w:rsidRDefault="00790FBA" w:rsidP="00790FBA">
      <w:pPr>
        <w:pStyle w:val="ListParagraph"/>
        <w:autoSpaceDE w:val="0"/>
        <w:autoSpaceDN w:val="0"/>
        <w:adjustRightInd w:val="0"/>
        <w:ind w:left="0"/>
        <w:contextualSpacing w:val="0"/>
        <w:jc w:val="both"/>
      </w:pPr>
    </w:p>
    <w:p w14:paraId="2D221420" w14:textId="77777777" w:rsidR="005E6F2A" w:rsidRDefault="005E6F2A" w:rsidP="005E6F2A">
      <w:pPr>
        <w:pStyle w:val="ListParagraph"/>
        <w:autoSpaceDE w:val="0"/>
        <w:autoSpaceDN w:val="0"/>
        <w:adjustRightInd w:val="0"/>
        <w:ind w:left="0"/>
        <w:contextualSpacing w:val="0"/>
        <w:jc w:val="both"/>
      </w:pPr>
    </w:p>
    <w:p w14:paraId="24FA6C1B" w14:textId="3FC900D8" w:rsidR="00223033" w:rsidRDefault="009014E7" w:rsidP="00790FBA">
      <w:pPr>
        <w:pStyle w:val="ListParagraph"/>
        <w:numPr>
          <w:ilvl w:val="0"/>
          <w:numId w:val="7"/>
        </w:numPr>
        <w:autoSpaceDE w:val="0"/>
        <w:autoSpaceDN w:val="0"/>
        <w:adjustRightInd w:val="0"/>
        <w:ind w:left="0"/>
        <w:contextualSpacing w:val="0"/>
        <w:jc w:val="both"/>
        <w:rPr>
          <w:b/>
          <w:bCs/>
        </w:rPr>
      </w:pPr>
      <w:r w:rsidRPr="005E6F2A">
        <w:rPr>
          <w:b/>
          <w:bCs/>
        </w:rPr>
        <w:t>Pakkumusi hinnatakse ja väärtuspunkte antakse alljärgnevalt:</w:t>
      </w:r>
    </w:p>
    <w:p w14:paraId="54849CBF" w14:textId="77777777" w:rsidR="005E2F36" w:rsidRPr="005E6F2A" w:rsidRDefault="005E2F36" w:rsidP="005E2F36">
      <w:pPr>
        <w:pStyle w:val="ListParagraph"/>
        <w:autoSpaceDE w:val="0"/>
        <w:autoSpaceDN w:val="0"/>
        <w:adjustRightInd w:val="0"/>
        <w:ind w:left="0"/>
        <w:contextualSpacing w:val="0"/>
        <w:jc w:val="both"/>
        <w:rPr>
          <w:b/>
          <w:bCs/>
        </w:rPr>
      </w:pPr>
    </w:p>
    <w:tbl>
      <w:tblPr>
        <w:tblStyle w:val="TableGrid"/>
        <w:tblW w:w="0" w:type="auto"/>
        <w:tblLayout w:type="fixed"/>
        <w:tblLook w:val="04A0" w:firstRow="1" w:lastRow="0" w:firstColumn="1" w:lastColumn="0" w:noHBand="0" w:noVBand="1"/>
      </w:tblPr>
      <w:tblGrid>
        <w:gridCol w:w="7792"/>
        <w:gridCol w:w="1270"/>
      </w:tblGrid>
      <w:tr w:rsidR="00223033" w:rsidRPr="007075B2" w14:paraId="6B85CED1" w14:textId="77777777" w:rsidTr="005E6F2A">
        <w:tc>
          <w:tcPr>
            <w:tcW w:w="7792" w:type="dxa"/>
            <w:shd w:val="clear" w:color="auto" w:fill="D9D9D9" w:themeFill="background1" w:themeFillShade="D9"/>
          </w:tcPr>
          <w:p w14:paraId="53182D92" w14:textId="0AD610CE" w:rsidR="00223033" w:rsidRPr="007075B2" w:rsidRDefault="009B62FC" w:rsidP="00765216">
            <w:pPr>
              <w:jc w:val="both"/>
              <w:rPr>
                <w:b/>
              </w:rPr>
            </w:pPr>
            <w:r>
              <w:rPr>
                <w:b/>
                <w:bCs/>
              </w:rPr>
              <w:t xml:space="preserve">2.1 </w:t>
            </w:r>
            <w:r w:rsidR="00B34C9E" w:rsidRPr="007075B2">
              <w:rPr>
                <w:b/>
                <w:bCs/>
              </w:rPr>
              <w:t>T</w:t>
            </w:r>
            <w:r w:rsidR="001A5E1B" w:rsidRPr="007075B2">
              <w:rPr>
                <w:b/>
                <w:bCs/>
              </w:rPr>
              <w:t>öö</w:t>
            </w:r>
            <w:r w:rsidR="003F5620" w:rsidRPr="007075B2">
              <w:rPr>
                <w:b/>
                <w:bCs/>
              </w:rPr>
              <w:t xml:space="preserve"> läbiviimise metoodika kirjeldus.</w:t>
            </w:r>
            <w:r w:rsidR="003F5620" w:rsidRPr="007075B2">
              <w:rPr>
                <w:b/>
              </w:rPr>
              <w:t xml:space="preserve"> </w:t>
            </w:r>
            <w:r w:rsidR="00223033" w:rsidRPr="007075B2">
              <w:rPr>
                <w:b/>
                <w:bCs/>
              </w:rPr>
              <w:t xml:space="preserve">Hinnang, kuidas valitud metoodikaga on püstitatud eesmärk saavutatav </w:t>
            </w:r>
            <w:r w:rsidR="00562DA7" w:rsidRPr="007075B2">
              <w:rPr>
                <w:b/>
                <w:bCs/>
              </w:rPr>
              <w:t>– maksimaalselt 2</w:t>
            </w:r>
            <w:r w:rsidR="00D42C88">
              <w:rPr>
                <w:b/>
                <w:bCs/>
              </w:rPr>
              <w:t>0</w:t>
            </w:r>
            <w:r w:rsidR="00223033" w:rsidRPr="007075B2">
              <w:rPr>
                <w:b/>
                <w:bCs/>
              </w:rPr>
              <w:t xml:space="preserve"> punkti</w:t>
            </w:r>
          </w:p>
          <w:p w14:paraId="61991B38" w14:textId="77777777" w:rsidR="00223033" w:rsidRPr="007075B2" w:rsidRDefault="00223033" w:rsidP="00765216"/>
        </w:tc>
        <w:tc>
          <w:tcPr>
            <w:tcW w:w="1270" w:type="dxa"/>
            <w:shd w:val="clear" w:color="auto" w:fill="D9D9D9" w:themeFill="background1" w:themeFillShade="D9"/>
          </w:tcPr>
          <w:p w14:paraId="49B623BC" w14:textId="77777777" w:rsidR="00223033" w:rsidRPr="007075B2" w:rsidRDefault="00223033" w:rsidP="00765216">
            <w:pPr>
              <w:rPr>
                <w:b/>
              </w:rPr>
            </w:pPr>
            <w:r w:rsidRPr="007075B2">
              <w:rPr>
                <w:b/>
              </w:rPr>
              <w:t>Väärtus-punktide arv</w:t>
            </w:r>
          </w:p>
        </w:tc>
      </w:tr>
      <w:tr w:rsidR="00223033" w:rsidRPr="007075B2" w14:paraId="54BFD08C" w14:textId="77777777" w:rsidTr="00DC00B0">
        <w:tc>
          <w:tcPr>
            <w:tcW w:w="7792" w:type="dxa"/>
          </w:tcPr>
          <w:p w14:paraId="20681C56" w14:textId="2B386057" w:rsidR="003F5620" w:rsidRPr="007075B2" w:rsidRDefault="00223033" w:rsidP="00765216">
            <w:pPr>
              <w:pStyle w:val="Default"/>
              <w:jc w:val="both"/>
              <w:rPr>
                <w:rFonts w:ascii="Times New Roman" w:hAnsi="Times New Roman" w:cs="Times New Roman"/>
              </w:rPr>
            </w:pPr>
            <w:r w:rsidRPr="007075B2">
              <w:rPr>
                <w:rFonts w:ascii="Times New Roman" w:hAnsi="Times New Roman" w:cs="Times New Roman"/>
              </w:rPr>
              <w:t xml:space="preserve">SUUREPÄRANE: </w:t>
            </w:r>
            <w:r w:rsidR="00DC2707" w:rsidRPr="007075B2">
              <w:rPr>
                <w:rFonts w:ascii="Times New Roman" w:hAnsi="Times New Roman" w:cs="Times New Roman"/>
              </w:rPr>
              <w:t xml:space="preserve">Töö </w:t>
            </w:r>
            <w:r w:rsidR="009410F4" w:rsidRPr="007075B2">
              <w:rPr>
                <w:rFonts w:ascii="Times New Roman" w:hAnsi="Times New Roman" w:cs="Times New Roman"/>
              </w:rPr>
              <w:t>metoodika</w:t>
            </w:r>
            <w:r w:rsidRPr="007075B2">
              <w:rPr>
                <w:rFonts w:ascii="Times New Roman" w:hAnsi="Times New Roman" w:cs="Times New Roman"/>
              </w:rPr>
              <w:t xml:space="preserve"> ja nendest tulenevad tegevused on kirjeldatud detailselt ja arusaadavalt ning kirjeldatu </w:t>
            </w:r>
            <w:r w:rsidR="008A2E3E" w:rsidRPr="007075B2">
              <w:rPr>
                <w:rFonts w:ascii="Times New Roman" w:hAnsi="Times New Roman" w:cs="Times New Roman"/>
              </w:rPr>
              <w:t>ületab hankija ootuseid</w:t>
            </w:r>
            <w:r w:rsidRPr="007075B2">
              <w:rPr>
                <w:rFonts w:ascii="Times New Roman" w:hAnsi="Times New Roman" w:cs="Times New Roman"/>
              </w:rPr>
              <w:t xml:space="preserve">. </w:t>
            </w:r>
            <w:r w:rsidR="003F5620" w:rsidRPr="007075B2">
              <w:rPr>
                <w:rFonts w:ascii="Times New Roman" w:hAnsi="Times New Roman" w:cs="Times New Roman"/>
              </w:rPr>
              <w:t xml:space="preserve">Pakkumuses on väga põhjalikult lahti kirjeldatud </w:t>
            </w:r>
            <w:r w:rsidR="008A2E3E" w:rsidRPr="007075B2">
              <w:rPr>
                <w:rFonts w:ascii="Times New Roman" w:hAnsi="Times New Roman" w:cs="Times New Roman"/>
              </w:rPr>
              <w:t xml:space="preserve">töö </w:t>
            </w:r>
            <w:r w:rsidR="003F5620" w:rsidRPr="007075B2">
              <w:rPr>
                <w:rFonts w:ascii="Times New Roman" w:hAnsi="Times New Roman" w:cs="Times New Roman"/>
              </w:rPr>
              <w:t xml:space="preserve">metoodiline lähenemine, sh on välja toodud: 1) </w:t>
            </w:r>
            <w:r w:rsidR="008A2E3E" w:rsidRPr="007075B2">
              <w:rPr>
                <w:rFonts w:ascii="Times New Roman" w:hAnsi="Times New Roman" w:cs="Times New Roman"/>
              </w:rPr>
              <w:t>Töö</w:t>
            </w:r>
            <w:r w:rsidR="003F5620" w:rsidRPr="007075B2">
              <w:rPr>
                <w:rFonts w:ascii="Times New Roman" w:hAnsi="Times New Roman" w:cs="Times New Roman"/>
              </w:rPr>
              <w:t xml:space="preserve"> koostamise</w:t>
            </w:r>
            <w:r w:rsidR="001A5E1B" w:rsidRPr="007075B2">
              <w:rPr>
                <w:rFonts w:ascii="Times New Roman" w:hAnsi="Times New Roman" w:cs="Times New Roman"/>
              </w:rPr>
              <w:t xml:space="preserve"> peamised põhimõtted ja meetodid; </w:t>
            </w:r>
            <w:r w:rsidR="003F5620" w:rsidRPr="007075B2">
              <w:rPr>
                <w:rFonts w:ascii="Times New Roman" w:hAnsi="Times New Roman" w:cs="Times New Roman"/>
              </w:rPr>
              <w:t xml:space="preserve">2) </w:t>
            </w:r>
            <w:r w:rsidR="0070427D" w:rsidRPr="007075B2">
              <w:rPr>
                <w:rFonts w:ascii="Times New Roman" w:eastAsia="ヒラギノ角ゴ Pro W3" w:hAnsi="Times New Roman" w:cs="Times New Roman"/>
                <w:iCs/>
              </w:rPr>
              <w:t xml:space="preserve">Kirjeldus, kuidas toimub </w:t>
            </w:r>
            <w:r w:rsidR="008A2E3E" w:rsidRPr="007075B2">
              <w:rPr>
                <w:rFonts w:ascii="Times New Roman" w:eastAsia="ヒラギノ角ゴ Pro W3" w:hAnsi="Times New Roman" w:cs="Times New Roman"/>
                <w:iCs/>
              </w:rPr>
              <w:t xml:space="preserve">kommunikatsioon ja </w:t>
            </w:r>
            <w:r w:rsidR="0070427D" w:rsidRPr="007075B2">
              <w:rPr>
                <w:rFonts w:ascii="Times New Roman" w:eastAsia="ヒラギノ角ゴ Pro W3" w:hAnsi="Times New Roman" w:cs="Times New Roman"/>
                <w:iCs/>
              </w:rPr>
              <w:t xml:space="preserve">huvigruppide kaasamine, millistest põhimõtetest </w:t>
            </w:r>
            <w:r w:rsidR="008A2E3E" w:rsidRPr="007075B2">
              <w:rPr>
                <w:rFonts w:ascii="Times New Roman" w:eastAsia="ヒラギノ角ゴ Pro W3" w:hAnsi="Times New Roman" w:cs="Times New Roman"/>
                <w:iCs/>
              </w:rPr>
              <w:t xml:space="preserve">kommunikatsioonis ning </w:t>
            </w:r>
            <w:r w:rsidR="0070427D" w:rsidRPr="007075B2">
              <w:rPr>
                <w:rFonts w:ascii="Times New Roman" w:eastAsia="ヒラギノ角ゴ Pro W3" w:hAnsi="Times New Roman" w:cs="Times New Roman"/>
                <w:iCs/>
              </w:rPr>
              <w:t>kaasamisel lähtutakse</w:t>
            </w:r>
            <w:r w:rsidR="008A2E3E" w:rsidRPr="007075B2">
              <w:rPr>
                <w:rFonts w:ascii="Times New Roman" w:eastAsia="ヒラギノ角ゴ Pro W3" w:hAnsi="Times New Roman" w:cs="Times New Roman"/>
                <w:iCs/>
              </w:rPr>
              <w:t>.</w:t>
            </w:r>
          </w:p>
          <w:p w14:paraId="7DC5F4E0" w14:textId="0830E3F1" w:rsidR="00223033" w:rsidRPr="007075B2" w:rsidRDefault="00223033" w:rsidP="00765216">
            <w:pPr>
              <w:autoSpaceDE w:val="0"/>
              <w:autoSpaceDN w:val="0"/>
              <w:adjustRightInd w:val="0"/>
              <w:jc w:val="both"/>
            </w:pPr>
            <w:r w:rsidRPr="007075B2">
              <w:t xml:space="preserve">Lisaks </w:t>
            </w:r>
            <w:r w:rsidR="00B34C9E" w:rsidRPr="007075B2">
              <w:t>riigihanke alusdokumentides</w:t>
            </w:r>
            <w:r w:rsidRPr="007075B2">
              <w:t xml:space="preserve"> nõutule on koos sisuliste ja selgelt arusaadavate põhjendustega välja pakutud hankija poolt aktsepteerimist leidvaid lisalahendusi (nt täiendavate meetodite või lahenduste kasutamine), mis võimaldavad </w:t>
            </w:r>
            <w:r w:rsidR="008A2E3E" w:rsidRPr="007075B2">
              <w:t>töö</w:t>
            </w:r>
            <w:r w:rsidRPr="007075B2">
              <w:t xml:space="preserve"> eesmärke efektiivsemalt saavutada.</w:t>
            </w:r>
          </w:p>
        </w:tc>
        <w:tc>
          <w:tcPr>
            <w:tcW w:w="1270" w:type="dxa"/>
          </w:tcPr>
          <w:p w14:paraId="2E502C4A" w14:textId="24FE0E40" w:rsidR="00223033" w:rsidRPr="007075B2" w:rsidRDefault="00A77D9F" w:rsidP="00765216">
            <w:pPr>
              <w:jc w:val="center"/>
            </w:pPr>
            <w:r>
              <w:t>20</w:t>
            </w:r>
          </w:p>
        </w:tc>
      </w:tr>
      <w:tr w:rsidR="00223033" w:rsidRPr="007075B2" w14:paraId="18A6ADFE" w14:textId="77777777" w:rsidTr="00DC00B0">
        <w:tc>
          <w:tcPr>
            <w:tcW w:w="7792" w:type="dxa"/>
          </w:tcPr>
          <w:p w14:paraId="55E5783D" w14:textId="7CE56A6D" w:rsidR="00223033" w:rsidRPr="007075B2" w:rsidRDefault="00223033" w:rsidP="00765216">
            <w:pPr>
              <w:pStyle w:val="Default"/>
              <w:jc w:val="both"/>
              <w:rPr>
                <w:rFonts w:ascii="Times New Roman" w:hAnsi="Times New Roman" w:cs="Times New Roman"/>
                <w:highlight w:val="yellow"/>
              </w:rPr>
            </w:pPr>
            <w:r w:rsidRPr="007075B2">
              <w:rPr>
                <w:rFonts w:ascii="Times New Roman" w:hAnsi="Times New Roman" w:cs="Times New Roman"/>
              </w:rPr>
              <w:t>VÄGA HEA:</w:t>
            </w:r>
            <w:r w:rsidR="009410F4" w:rsidRPr="007075B2">
              <w:rPr>
                <w:rFonts w:ascii="Times New Roman" w:hAnsi="Times New Roman" w:cs="Times New Roman"/>
              </w:rPr>
              <w:t xml:space="preserve"> Töö metoodika</w:t>
            </w:r>
            <w:r w:rsidR="008A2E3E" w:rsidRPr="007075B2">
              <w:rPr>
                <w:rFonts w:ascii="Times New Roman" w:hAnsi="Times New Roman" w:cs="Times New Roman"/>
              </w:rPr>
              <w:t xml:space="preserve"> ja nendest tulenevad tegevused on kirjeldatud heal tasemel ja arusaadavalt ning kirjeldatu vastab hankija ootustele. Pakkumuses on heal tasemel lahti kirjeldatud töö metoodiline lähenemine, sh on välja toodud: 1) Töö koostamise peamised põhimõtted ja meetodid; 2) </w:t>
            </w:r>
            <w:r w:rsidR="008A2E3E" w:rsidRPr="007075B2">
              <w:rPr>
                <w:rFonts w:ascii="Times New Roman" w:eastAsia="ヒラギノ角ゴ Pro W3" w:hAnsi="Times New Roman" w:cs="Times New Roman"/>
                <w:iCs/>
              </w:rPr>
              <w:t>Kirjeldus, kuidas toimub kommunikatsioon ja huvigruppide kaasamine, millistest põhimõtetest kommunikatsioonis ning kaasamisel lähtutakse.</w:t>
            </w:r>
          </w:p>
        </w:tc>
        <w:tc>
          <w:tcPr>
            <w:tcW w:w="1270" w:type="dxa"/>
          </w:tcPr>
          <w:p w14:paraId="5F4296F9" w14:textId="100AF866" w:rsidR="00223033" w:rsidRPr="007075B2" w:rsidRDefault="00A77D9F" w:rsidP="00765216">
            <w:pPr>
              <w:jc w:val="center"/>
            </w:pPr>
            <w:r>
              <w:t>15</w:t>
            </w:r>
          </w:p>
        </w:tc>
      </w:tr>
      <w:tr w:rsidR="00223033" w:rsidRPr="007075B2" w14:paraId="155A38CB" w14:textId="77777777" w:rsidTr="00DC00B0">
        <w:tc>
          <w:tcPr>
            <w:tcW w:w="7792" w:type="dxa"/>
          </w:tcPr>
          <w:p w14:paraId="048A3C3D" w14:textId="5C31C87E" w:rsidR="00223033" w:rsidRPr="007075B2" w:rsidRDefault="00223033" w:rsidP="00765216">
            <w:pPr>
              <w:autoSpaceDE w:val="0"/>
              <w:autoSpaceDN w:val="0"/>
              <w:adjustRightInd w:val="0"/>
              <w:jc w:val="both"/>
            </w:pPr>
            <w:r w:rsidRPr="007075B2">
              <w:t xml:space="preserve">HEA: </w:t>
            </w:r>
            <w:r w:rsidR="008A5C06" w:rsidRPr="007075B2">
              <w:t>Töö me</w:t>
            </w:r>
            <w:r w:rsidR="008A2E3E" w:rsidRPr="007075B2">
              <w:t>to</w:t>
            </w:r>
            <w:r w:rsidR="008A5C06" w:rsidRPr="007075B2">
              <w:t>odika</w:t>
            </w:r>
            <w:r w:rsidR="008A2E3E" w:rsidRPr="007075B2">
              <w:t xml:space="preserve"> ja nendest tulenevad tegevused on kirjeldatud piisavalt ja arusaadavalt ning kirjeldatu vastab</w:t>
            </w:r>
            <w:r w:rsidR="00805C46" w:rsidRPr="007075B2">
              <w:t xml:space="preserve"> üldjoontes</w:t>
            </w:r>
            <w:r w:rsidR="008A2E3E" w:rsidRPr="007075B2">
              <w:t xml:space="preserve"> </w:t>
            </w:r>
            <w:r w:rsidR="00805C46" w:rsidRPr="007075B2">
              <w:t>hankija ootustele</w:t>
            </w:r>
            <w:r w:rsidR="00DD63B1" w:rsidRPr="007075B2">
              <w:t>, kuid pisidetailide osas esinevad üksikud mittepõhimõttelised puudujäägid ja/või ebatäpsused, mis ei takista töö eesmärkide täitmist</w:t>
            </w:r>
            <w:r w:rsidR="008A2E3E" w:rsidRPr="007075B2">
              <w:t xml:space="preserve">. Pakkumuses on </w:t>
            </w:r>
            <w:r w:rsidR="00805C46" w:rsidRPr="007075B2">
              <w:t>piisavalt</w:t>
            </w:r>
            <w:r w:rsidR="008A2E3E" w:rsidRPr="007075B2">
              <w:t xml:space="preserve"> lahti kirjeldatud töö metoodiline lähenemine, sh on välja toodud: 1) Töö koostamise peamised põhimõtted ja meetodid; 2) </w:t>
            </w:r>
            <w:r w:rsidR="008A2E3E" w:rsidRPr="007075B2">
              <w:rPr>
                <w:rFonts w:eastAsia="ヒラギノ角ゴ Pro W3"/>
                <w:iCs/>
              </w:rPr>
              <w:t>Kirjeldus, kuidas toimub kommunikatsioon ja huvigruppide kaasamine, millistest põhimõtetest kommunikatsioonis ning kaasamisel lähtutakse.</w:t>
            </w:r>
          </w:p>
        </w:tc>
        <w:tc>
          <w:tcPr>
            <w:tcW w:w="1270" w:type="dxa"/>
          </w:tcPr>
          <w:p w14:paraId="4635B47F" w14:textId="17E663F4" w:rsidR="00223033" w:rsidRPr="007075B2" w:rsidRDefault="00A77D9F" w:rsidP="00765216">
            <w:pPr>
              <w:jc w:val="center"/>
            </w:pPr>
            <w:r>
              <w:t>10</w:t>
            </w:r>
          </w:p>
        </w:tc>
      </w:tr>
      <w:tr w:rsidR="00223033" w:rsidRPr="007075B2" w14:paraId="7EDAF4DA" w14:textId="77777777" w:rsidTr="00DC00B0">
        <w:tc>
          <w:tcPr>
            <w:tcW w:w="7792" w:type="dxa"/>
          </w:tcPr>
          <w:p w14:paraId="067C4369" w14:textId="18E9CB87" w:rsidR="00223033" w:rsidRPr="007075B2" w:rsidRDefault="00223033" w:rsidP="00765216">
            <w:pPr>
              <w:autoSpaceDE w:val="0"/>
              <w:autoSpaceDN w:val="0"/>
              <w:adjustRightInd w:val="0"/>
              <w:jc w:val="both"/>
              <w:rPr>
                <w:highlight w:val="yellow"/>
              </w:rPr>
            </w:pPr>
            <w:r w:rsidRPr="007075B2">
              <w:t xml:space="preserve">RAHULDAV: </w:t>
            </w:r>
            <w:r w:rsidR="00DC2707" w:rsidRPr="007075B2">
              <w:t>Töö m</w:t>
            </w:r>
            <w:r w:rsidR="009410F4" w:rsidRPr="007075B2">
              <w:t>e</w:t>
            </w:r>
            <w:r w:rsidR="003A3D23" w:rsidRPr="007075B2">
              <w:t>e</w:t>
            </w:r>
            <w:r w:rsidR="00DD63B1" w:rsidRPr="007075B2">
              <w:t xml:space="preserve">todid ja nendest tulenevad tegevused on kirjeldatud üldises plaanis sobivalt, kuid esineb </w:t>
            </w:r>
            <w:r w:rsidR="009917F3" w:rsidRPr="007075B2">
              <w:t>puudujääke</w:t>
            </w:r>
            <w:r w:rsidR="00AC56CA" w:rsidRPr="007075B2">
              <w:t>.</w:t>
            </w:r>
            <w:r w:rsidR="00DD63B1" w:rsidRPr="007075B2">
              <w:t xml:space="preserve"> Pakkumuses </w:t>
            </w:r>
            <w:r w:rsidR="00AC56CA" w:rsidRPr="007075B2">
              <w:t xml:space="preserve">ei ole </w:t>
            </w:r>
            <w:r w:rsidR="00DD63B1" w:rsidRPr="007075B2">
              <w:t>piisavalt lahti kirjeldatud töö metoodiline lähenemine, sh</w:t>
            </w:r>
            <w:r w:rsidR="00AC56CA" w:rsidRPr="007075B2">
              <w:t xml:space="preserve"> pole piisavalt </w:t>
            </w:r>
            <w:r w:rsidR="00DD63B1" w:rsidRPr="007075B2">
              <w:t xml:space="preserve">välja toodud: 1) Töö koostamise peamised põhimõtted ja meetodid; 2) </w:t>
            </w:r>
            <w:r w:rsidR="00DD63B1" w:rsidRPr="007075B2">
              <w:rPr>
                <w:rFonts w:eastAsia="ヒラギノ角ゴ Pro W3"/>
                <w:iCs/>
              </w:rPr>
              <w:t>Kirjeldus, kuidas toimub kommunikatsioon ja huvigruppide kaasamine, millistest põhimõtetest kommunikatsioonis ning kaasamisel lähtutakse.</w:t>
            </w:r>
          </w:p>
        </w:tc>
        <w:tc>
          <w:tcPr>
            <w:tcW w:w="1270" w:type="dxa"/>
          </w:tcPr>
          <w:p w14:paraId="6832C5CB" w14:textId="3261D878" w:rsidR="00223033" w:rsidRPr="007075B2" w:rsidRDefault="00574A69" w:rsidP="00765216">
            <w:pPr>
              <w:jc w:val="center"/>
            </w:pPr>
            <w:r>
              <w:t>5</w:t>
            </w:r>
          </w:p>
        </w:tc>
      </w:tr>
    </w:tbl>
    <w:p w14:paraId="3B78FC7B" w14:textId="77777777" w:rsidR="00223033" w:rsidRPr="007075B2" w:rsidRDefault="00223033" w:rsidP="00765216"/>
    <w:p w14:paraId="4492E48F" w14:textId="77777777" w:rsidR="00223033" w:rsidRDefault="00223033" w:rsidP="00765216"/>
    <w:p w14:paraId="45C710BB" w14:textId="77777777" w:rsidR="00A621CF" w:rsidRDefault="00A621CF" w:rsidP="00765216"/>
    <w:p w14:paraId="377BB028" w14:textId="77777777" w:rsidR="00A621CF" w:rsidRDefault="00A621CF" w:rsidP="00765216"/>
    <w:p w14:paraId="34DDACCE" w14:textId="77777777" w:rsidR="005A77F9" w:rsidRPr="007075B2" w:rsidRDefault="005A77F9" w:rsidP="00765216"/>
    <w:tbl>
      <w:tblPr>
        <w:tblStyle w:val="TableGrid"/>
        <w:tblW w:w="0" w:type="auto"/>
        <w:tblLayout w:type="fixed"/>
        <w:tblLook w:val="04A0" w:firstRow="1" w:lastRow="0" w:firstColumn="1" w:lastColumn="0" w:noHBand="0" w:noVBand="1"/>
      </w:tblPr>
      <w:tblGrid>
        <w:gridCol w:w="7792"/>
        <w:gridCol w:w="1270"/>
      </w:tblGrid>
      <w:tr w:rsidR="00223033" w:rsidRPr="007075B2" w14:paraId="24F762CA" w14:textId="77777777" w:rsidTr="005E6F2A">
        <w:tc>
          <w:tcPr>
            <w:tcW w:w="7792" w:type="dxa"/>
            <w:shd w:val="clear" w:color="auto" w:fill="D9D9D9" w:themeFill="background1" w:themeFillShade="D9"/>
          </w:tcPr>
          <w:p w14:paraId="737E5E4B" w14:textId="756E59DD" w:rsidR="00223033" w:rsidRPr="007075B2" w:rsidRDefault="009B62FC" w:rsidP="00765216">
            <w:pPr>
              <w:autoSpaceDE w:val="0"/>
              <w:autoSpaceDN w:val="0"/>
              <w:adjustRightInd w:val="0"/>
            </w:pPr>
            <w:r>
              <w:rPr>
                <w:b/>
                <w:bCs/>
              </w:rPr>
              <w:lastRenderedPageBreak/>
              <w:t xml:space="preserve">2.2 </w:t>
            </w:r>
            <w:r w:rsidR="00282FEF" w:rsidRPr="007075B2">
              <w:rPr>
                <w:b/>
                <w:bCs/>
              </w:rPr>
              <w:t>Töö</w:t>
            </w:r>
            <w:r w:rsidR="00223033" w:rsidRPr="007075B2">
              <w:rPr>
                <w:b/>
                <w:bCs/>
              </w:rPr>
              <w:t xml:space="preserve"> läbiviimise aja- ja tegevuskava</w:t>
            </w:r>
            <w:r w:rsidR="00562DA7" w:rsidRPr="007075B2">
              <w:rPr>
                <w:b/>
                <w:bCs/>
              </w:rPr>
              <w:t xml:space="preserve"> – maksimaalselt 1</w:t>
            </w:r>
            <w:r w:rsidR="00470607">
              <w:rPr>
                <w:b/>
                <w:bCs/>
              </w:rPr>
              <w:t>0</w:t>
            </w:r>
            <w:r w:rsidR="00562DA7" w:rsidRPr="007075B2">
              <w:rPr>
                <w:b/>
                <w:bCs/>
              </w:rPr>
              <w:t xml:space="preserve"> </w:t>
            </w:r>
            <w:r w:rsidR="00223033" w:rsidRPr="007075B2">
              <w:rPr>
                <w:b/>
                <w:bCs/>
              </w:rPr>
              <w:t>punkti</w:t>
            </w:r>
          </w:p>
        </w:tc>
        <w:tc>
          <w:tcPr>
            <w:tcW w:w="1270" w:type="dxa"/>
            <w:shd w:val="clear" w:color="auto" w:fill="D9D9D9" w:themeFill="background1" w:themeFillShade="D9"/>
          </w:tcPr>
          <w:p w14:paraId="51F451EA" w14:textId="77777777" w:rsidR="00223033" w:rsidRPr="007075B2" w:rsidRDefault="00223033" w:rsidP="00765216">
            <w:pPr>
              <w:rPr>
                <w:b/>
              </w:rPr>
            </w:pPr>
            <w:r w:rsidRPr="007075B2">
              <w:rPr>
                <w:b/>
              </w:rPr>
              <w:t>Väärtus-punktide arv</w:t>
            </w:r>
          </w:p>
        </w:tc>
      </w:tr>
      <w:tr w:rsidR="00223033" w:rsidRPr="007075B2" w14:paraId="59F629BB" w14:textId="77777777" w:rsidTr="00DC00B0">
        <w:tc>
          <w:tcPr>
            <w:tcW w:w="7792" w:type="dxa"/>
          </w:tcPr>
          <w:p w14:paraId="23F31F4B" w14:textId="35B8A630" w:rsidR="00223033" w:rsidRPr="007075B2" w:rsidRDefault="00223033" w:rsidP="00765216">
            <w:pPr>
              <w:autoSpaceDE w:val="0"/>
              <w:autoSpaceDN w:val="0"/>
              <w:adjustRightInd w:val="0"/>
              <w:jc w:val="both"/>
            </w:pPr>
            <w:r w:rsidRPr="007075B2">
              <w:t>SUUREPÄRANE: Aja</w:t>
            </w:r>
            <w:r w:rsidR="009E1F4C">
              <w:t>- ja tegevus</w:t>
            </w:r>
            <w:r w:rsidRPr="007075B2">
              <w:t xml:space="preserve">kava on põhjendatud. Tegevused on esitatud koos tähtaegadega ja tulemitega. Iga tegevuse juures on märgitud läbiviija(d) (meeskonna liikmed). Pakutud </w:t>
            </w:r>
            <w:r w:rsidR="001377C0">
              <w:t>aja- ja tegevuskava</w:t>
            </w:r>
            <w:r w:rsidRPr="007075B2">
              <w:t xml:space="preserve"> on hankelepingu kvaliteetseks täitmiseks mõistlik ja objektiivselt põhjendatud. Lisaks on väljapakutud hankija poolt aktsepteerimist leidvaid täiendavaid tegevusi või olemasolevaid tegevusi on liigendatud detailsemaks, eesmärgiga neid paremini avada. Kirjeldatud </w:t>
            </w:r>
            <w:r w:rsidR="001377C0">
              <w:t>aja- ja tegevuskava</w:t>
            </w:r>
            <w:r w:rsidRPr="007075B2">
              <w:t xml:space="preserve"> ületab hankija ootusi</w:t>
            </w:r>
            <w:r w:rsidR="00AD0E8A" w:rsidRPr="007075B2">
              <w:t>,</w:t>
            </w:r>
            <w:r w:rsidRPr="007075B2">
              <w:t xml:space="preserve"> st ajakavva on lisatud täiendavaid tegevusi vms, mis hankija hinnangul on vajalikud, kuid mida pole osatud ette näha</w:t>
            </w:r>
            <w:r w:rsidR="003771CC">
              <w:t xml:space="preserve"> või aja- ja tegevuskava on koostatud viisil, mis võimaldab töö lõpptähtaja kiiremat saavutamist</w:t>
            </w:r>
            <w:r w:rsidR="00CE47C1">
              <w:t xml:space="preserve"> (võrreldes indikatiivse ajakavaga)</w:t>
            </w:r>
            <w:r w:rsidR="003771CC">
              <w:t>, ilma kvaliteedis vms kaotamata</w:t>
            </w:r>
            <w:r w:rsidRPr="007075B2">
              <w:t>.</w:t>
            </w:r>
          </w:p>
        </w:tc>
        <w:tc>
          <w:tcPr>
            <w:tcW w:w="1270" w:type="dxa"/>
          </w:tcPr>
          <w:p w14:paraId="41043871" w14:textId="1EBF3704" w:rsidR="00223033" w:rsidRPr="007075B2" w:rsidRDefault="00B459A2" w:rsidP="00765216">
            <w:pPr>
              <w:jc w:val="center"/>
            </w:pPr>
            <w:r>
              <w:t>1</w:t>
            </w:r>
            <w:r w:rsidR="00470607">
              <w:t>0</w:t>
            </w:r>
          </w:p>
        </w:tc>
      </w:tr>
      <w:tr w:rsidR="00223033" w:rsidRPr="007075B2" w14:paraId="16242A62" w14:textId="77777777" w:rsidTr="00DC00B0">
        <w:tc>
          <w:tcPr>
            <w:tcW w:w="7792" w:type="dxa"/>
          </w:tcPr>
          <w:p w14:paraId="00ED82FE" w14:textId="68EE4434" w:rsidR="00223033" w:rsidRPr="007075B2" w:rsidRDefault="00223033" w:rsidP="00765216">
            <w:pPr>
              <w:autoSpaceDE w:val="0"/>
              <w:autoSpaceDN w:val="0"/>
              <w:adjustRightInd w:val="0"/>
              <w:jc w:val="both"/>
            </w:pPr>
            <w:r w:rsidRPr="007075B2">
              <w:t>HEA: Aja</w:t>
            </w:r>
            <w:r w:rsidR="009E1F4C">
              <w:t>- ja tegevus</w:t>
            </w:r>
            <w:r w:rsidRPr="007075B2">
              <w:t xml:space="preserve">kava on põhjendatud. Tegevused on esitatud koos tähtaegadega  ja tulemitega. Iga tegevuse juures on märgitud läbiviija(d) (meeskonna liikmed). Pakutud </w:t>
            </w:r>
            <w:r w:rsidR="001377C0">
              <w:t>aja- ja tegevuskava</w:t>
            </w:r>
            <w:r w:rsidR="002C78F0">
              <w:t xml:space="preserve"> </w:t>
            </w:r>
            <w:r w:rsidRPr="007075B2">
              <w:t xml:space="preserve">on hankelepingu kvaliteetseks täitmiseks mõistlik ja objektiivselt põhjendatud. Kirjeldatud </w:t>
            </w:r>
            <w:r w:rsidR="001377C0">
              <w:t>aja- ja tegevuskava</w:t>
            </w:r>
            <w:r w:rsidRPr="007075B2">
              <w:t xml:space="preserve"> vastab hankija ootustele. </w:t>
            </w:r>
            <w:r w:rsidR="001377C0">
              <w:t>Aja- ja tegevuskavas</w:t>
            </w:r>
            <w:r w:rsidRPr="007075B2">
              <w:t xml:space="preserve"> võivad esineda üksikud ebatäpsused (planeeritud ajakavas on ebakõlasid, kus mõne tegevuse jaoks on planeeritud põhjendamatult kas väga pikk või väga lühike periood), mis aga ei ole põhimõttelised. </w:t>
            </w:r>
          </w:p>
        </w:tc>
        <w:tc>
          <w:tcPr>
            <w:tcW w:w="1270" w:type="dxa"/>
          </w:tcPr>
          <w:p w14:paraId="32C6F7FB" w14:textId="419720CC" w:rsidR="00223033" w:rsidRPr="007075B2" w:rsidRDefault="00470607" w:rsidP="00765216">
            <w:pPr>
              <w:jc w:val="center"/>
            </w:pPr>
            <w:r>
              <w:t>5</w:t>
            </w:r>
          </w:p>
        </w:tc>
      </w:tr>
      <w:tr w:rsidR="00223033" w:rsidRPr="007075B2" w14:paraId="2DEDD71F" w14:textId="77777777" w:rsidTr="00DC00B0">
        <w:tc>
          <w:tcPr>
            <w:tcW w:w="7792" w:type="dxa"/>
          </w:tcPr>
          <w:p w14:paraId="73534CE2" w14:textId="0914DD1D" w:rsidR="00223033" w:rsidRPr="007075B2" w:rsidRDefault="00223033" w:rsidP="00765216">
            <w:pPr>
              <w:autoSpaceDE w:val="0"/>
              <w:autoSpaceDN w:val="0"/>
              <w:adjustRightInd w:val="0"/>
              <w:jc w:val="both"/>
            </w:pPr>
            <w:r w:rsidRPr="007075B2">
              <w:t>RAHULDAV: Aja</w:t>
            </w:r>
            <w:r w:rsidR="009E1F4C">
              <w:t>- ja tegevus</w:t>
            </w:r>
            <w:r w:rsidRPr="007075B2">
              <w:t xml:space="preserve">kava on esitatud koos tähtaegadega, kuid </w:t>
            </w:r>
            <w:r w:rsidR="001377C0">
              <w:t>aja- ja tegevuskavast</w:t>
            </w:r>
            <w:r w:rsidRPr="007075B2">
              <w:t xml:space="preserve"> on puudu mõni etapp ja/või iga tegevuse juures ei ole märgitud läbiviija(d) (meeskonna liikmed). Puuduvad põhjendused, kuidas pakutud </w:t>
            </w:r>
            <w:r w:rsidR="001377C0">
              <w:t>aja- ja tegevuskavaga</w:t>
            </w:r>
            <w:r w:rsidR="00D9683D">
              <w:t xml:space="preserve"> </w:t>
            </w:r>
            <w:r w:rsidRPr="007075B2">
              <w:t xml:space="preserve">on võimalik tagada hankelepingu kvaliteetne täitmine. Aruandluse ajakava ei ole hankija jaoks lahti kirjutatud selgelt ja arusaadavalt. Hankijal tekkisid mitmed põhimõttelised küsimused </w:t>
            </w:r>
            <w:r w:rsidR="001377C0">
              <w:t>aja- ja tegevuskava</w:t>
            </w:r>
            <w:r w:rsidRPr="007075B2">
              <w:t xml:space="preserve"> osas.</w:t>
            </w:r>
          </w:p>
        </w:tc>
        <w:tc>
          <w:tcPr>
            <w:tcW w:w="1270" w:type="dxa"/>
          </w:tcPr>
          <w:p w14:paraId="5DB96F40" w14:textId="5C8BED2F" w:rsidR="00223033" w:rsidRPr="007075B2" w:rsidRDefault="00470607" w:rsidP="00765216">
            <w:pPr>
              <w:jc w:val="center"/>
            </w:pPr>
            <w:r>
              <w:t>1</w:t>
            </w:r>
          </w:p>
        </w:tc>
      </w:tr>
    </w:tbl>
    <w:p w14:paraId="1862972E" w14:textId="77777777" w:rsidR="00223033" w:rsidRPr="007075B2" w:rsidRDefault="00223033" w:rsidP="00765216"/>
    <w:tbl>
      <w:tblPr>
        <w:tblStyle w:val="TableGrid"/>
        <w:tblW w:w="0" w:type="auto"/>
        <w:tblLayout w:type="fixed"/>
        <w:tblLook w:val="04A0" w:firstRow="1" w:lastRow="0" w:firstColumn="1" w:lastColumn="0" w:noHBand="0" w:noVBand="1"/>
      </w:tblPr>
      <w:tblGrid>
        <w:gridCol w:w="7792"/>
        <w:gridCol w:w="1270"/>
      </w:tblGrid>
      <w:tr w:rsidR="00223033" w:rsidRPr="007075B2" w14:paraId="29EA6599" w14:textId="77777777" w:rsidTr="005E6F2A">
        <w:tc>
          <w:tcPr>
            <w:tcW w:w="7792" w:type="dxa"/>
            <w:shd w:val="clear" w:color="auto" w:fill="D9D9D9" w:themeFill="background1" w:themeFillShade="D9"/>
          </w:tcPr>
          <w:p w14:paraId="134C5634" w14:textId="4633B944" w:rsidR="00223033" w:rsidRPr="007075B2" w:rsidRDefault="009B62FC" w:rsidP="00765216">
            <w:pPr>
              <w:autoSpaceDE w:val="0"/>
              <w:autoSpaceDN w:val="0"/>
              <w:adjustRightInd w:val="0"/>
              <w:rPr>
                <w:b/>
                <w:bCs/>
              </w:rPr>
            </w:pPr>
            <w:r>
              <w:rPr>
                <w:b/>
                <w:bCs/>
              </w:rPr>
              <w:t xml:space="preserve">2.3 </w:t>
            </w:r>
            <w:r w:rsidR="00282FEF" w:rsidRPr="007075B2">
              <w:rPr>
                <w:b/>
                <w:bCs/>
              </w:rPr>
              <w:t>Töö</w:t>
            </w:r>
            <w:r w:rsidR="00080D79" w:rsidRPr="007075B2">
              <w:rPr>
                <w:b/>
                <w:bCs/>
              </w:rPr>
              <w:t xml:space="preserve"> </w:t>
            </w:r>
            <w:r w:rsidR="00FA3A53" w:rsidRPr="007075B2">
              <w:rPr>
                <w:b/>
                <w:bCs/>
              </w:rPr>
              <w:t xml:space="preserve">läbiviimise </w:t>
            </w:r>
            <w:r w:rsidR="00223033" w:rsidRPr="007075B2">
              <w:rPr>
                <w:b/>
                <w:bCs/>
              </w:rPr>
              <w:t>meeskonna koosseis ja</w:t>
            </w:r>
            <w:r w:rsidR="00562DA7" w:rsidRPr="007075B2">
              <w:rPr>
                <w:b/>
                <w:bCs/>
              </w:rPr>
              <w:t xml:space="preserve"> rollide jaotus – maksimaalselt 1</w:t>
            </w:r>
            <w:r w:rsidR="00470607">
              <w:rPr>
                <w:b/>
                <w:bCs/>
              </w:rPr>
              <w:t>5</w:t>
            </w:r>
            <w:r w:rsidR="00223033" w:rsidRPr="007075B2">
              <w:rPr>
                <w:b/>
                <w:bCs/>
              </w:rPr>
              <w:t xml:space="preserve"> punkti</w:t>
            </w:r>
          </w:p>
        </w:tc>
        <w:tc>
          <w:tcPr>
            <w:tcW w:w="1270" w:type="dxa"/>
            <w:shd w:val="clear" w:color="auto" w:fill="D9D9D9" w:themeFill="background1" w:themeFillShade="D9"/>
          </w:tcPr>
          <w:p w14:paraId="7293C49B" w14:textId="77777777" w:rsidR="00223033" w:rsidRPr="007075B2" w:rsidRDefault="00223033" w:rsidP="00765216">
            <w:pPr>
              <w:rPr>
                <w:b/>
              </w:rPr>
            </w:pPr>
            <w:r w:rsidRPr="007075B2">
              <w:rPr>
                <w:b/>
              </w:rPr>
              <w:t>Väärtus-punktide arv</w:t>
            </w:r>
          </w:p>
        </w:tc>
      </w:tr>
      <w:tr w:rsidR="009014E7" w:rsidRPr="007075B2" w14:paraId="704B1FBC" w14:textId="77777777" w:rsidTr="008F7F5F">
        <w:tc>
          <w:tcPr>
            <w:tcW w:w="7792" w:type="dxa"/>
            <w:tcBorders>
              <w:top w:val="nil"/>
              <w:left w:val="single" w:sz="8" w:space="0" w:color="auto"/>
              <w:bottom w:val="single" w:sz="8" w:space="0" w:color="auto"/>
              <w:right w:val="single" w:sz="8" w:space="0" w:color="auto"/>
            </w:tcBorders>
          </w:tcPr>
          <w:p w14:paraId="127DCFBE" w14:textId="3928B78E" w:rsidR="009014E7" w:rsidRPr="007075B2" w:rsidRDefault="009014E7" w:rsidP="00765216">
            <w:pPr>
              <w:autoSpaceDE w:val="0"/>
              <w:autoSpaceDN w:val="0"/>
              <w:jc w:val="both"/>
            </w:pPr>
            <w:r w:rsidRPr="007075B2">
              <w:rPr>
                <w:lang w:eastAsia="en-US"/>
              </w:rPr>
              <w:t xml:space="preserve">SUUREPÄRANE: Hankija näeb, et pakkuja on </w:t>
            </w:r>
            <w:r w:rsidR="005F24C8" w:rsidRPr="007075B2">
              <w:rPr>
                <w:lang w:eastAsia="en-US"/>
              </w:rPr>
              <w:t>töösse</w:t>
            </w:r>
            <w:r w:rsidRPr="007075B2">
              <w:rPr>
                <w:lang w:eastAsia="en-US"/>
              </w:rPr>
              <w:t xml:space="preserve"> kaasatava meeskonna koostamisel lähtunud </w:t>
            </w:r>
            <w:r w:rsidR="005F24C8" w:rsidRPr="007075B2">
              <w:rPr>
                <w:lang w:eastAsia="en-US"/>
              </w:rPr>
              <w:t>töö</w:t>
            </w:r>
            <w:r w:rsidR="00080D79" w:rsidRPr="007075B2">
              <w:rPr>
                <w:lang w:eastAsia="en-US"/>
              </w:rPr>
              <w:t xml:space="preserve"> eesmärgist</w:t>
            </w:r>
            <w:r w:rsidRPr="007075B2">
              <w:rPr>
                <w:lang w:eastAsia="en-US"/>
              </w:rPr>
              <w:t xml:space="preserve"> ja metoodikast. </w:t>
            </w:r>
            <w:r w:rsidR="005F24C8" w:rsidRPr="007075B2">
              <w:rPr>
                <w:lang w:eastAsia="en-US"/>
              </w:rPr>
              <w:t>Töö</w:t>
            </w:r>
            <w:r w:rsidR="00080D79" w:rsidRPr="007075B2">
              <w:rPr>
                <w:lang w:eastAsia="en-US"/>
              </w:rPr>
              <w:t xml:space="preserve"> </w:t>
            </w:r>
            <w:r w:rsidRPr="007075B2">
              <w:rPr>
                <w:lang w:eastAsia="en-US"/>
              </w:rPr>
              <w:t>meeskonna kirjelduses on detailselt ja põhjendustega välja toodud, milliseid ülesandeid iga meeskonnaliige täidab ning seejuures on meeskonnaliikmete oskused ja kogemused integreeritud ühise eesmärgi saavutamisse</w:t>
            </w:r>
            <w:r w:rsidR="00B807A0">
              <w:rPr>
                <w:lang w:eastAsia="en-US"/>
              </w:rPr>
              <w:t xml:space="preserve"> </w:t>
            </w:r>
            <w:r w:rsidR="002D556F">
              <w:rPr>
                <w:lang w:eastAsia="en-US"/>
              </w:rPr>
              <w:t>või isegi</w:t>
            </w:r>
            <w:r w:rsidR="00B807A0">
              <w:rPr>
                <w:lang w:eastAsia="en-US"/>
              </w:rPr>
              <w:t xml:space="preserve"> ületavad hankija ootuseid</w:t>
            </w:r>
            <w:r w:rsidRPr="007075B2">
              <w:rPr>
                <w:lang w:eastAsia="en-US"/>
              </w:rPr>
              <w:t xml:space="preserve">. Kirjeldatud </w:t>
            </w:r>
            <w:r w:rsidR="003771CC">
              <w:rPr>
                <w:lang w:eastAsia="en-US"/>
              </w:rPr>
              <w:t xml:space="preserve">meeskond ja selle </w:t>
            </w:r>
            <w:r w:rsidRPr="007075B2">
              <w:rPr>
                <w:lang w:eastAsia="en-US"/>
              </w:rPr>
              <w:t xml:space="preserve">tööjaotus on optimaalne ning võimaldab </w:t>
            </w:r>
            <w:r w:rsidR="00080D79" w:rsidRPr="007075B2">
              <w:rPr>
                <w:lang w:eastAsia="en-US"/>
              </w:rPr>
              <w:t>planeeringu</w:t>
            </w:r>
            <w:r w:rsidRPr="007075B2">
              <w:rPr>
                <w:lang w:eastAsia="en-US"/>
              </w:rPr>
              <w:t xml:space="preserve"> </w:t>
            </w:r>
            <w:r w:rsidR="003771CC" w:rsidRPr="007075B2">
              <w:rPr>
                <w:lang w:eastAsia="en-US"/>
              </w:rPr>
              <w:t xml:space="preserve">kvaliteetselt </w:t>
            </w:r>
            <w:r w:rsidRPr="007075B2">
              <w:rPr>
                <w:lang w:eastAsia="en-US"/>
              </w:rPr>
              <w:t>lõpptähtajaks valmis saada</w:t>
            </w:r>
            <w:r w:rsidR="003771CC">
              <w:rPr>
                <w:lang w:eastAsia="en-US"/>
              </w:rPr>
              <w:t xml:space="preserve"> või </w:t>
            </w:r>
            <w:r w:rsidR="003771CC">
              <w:t>võimaldab töö lõpptähtaja kiiremat saavutamist ilma kvaliteedis vms kaotamata.</w:t>
            </w:r>
          </w:p>
        </w:tc>
        <w:tc>
          <w:tcPr>
            <w:tcW w:w="1270" w:type="dxa"/>
          </w:tcPr>
          <w:p w14:paraId="7F977407" w14:textId="28B4C469" w:rsidR="009014E7" w:rsidRPr="007075B2" w:rsidRDefault="009014E7" w:rsidP="00765216">
            <w:pPr>
              <w:jc w:val="center"/>
            </w:pPr>
            <w:r w:rsidRPr="007075B2">
              <w:t>1</w:t>
            </w:r>
            <w:r w:rsidR="00470607">
              <w:t>5</w:t>
            </w:r>
          </w:p>
        </w:tc>
      </w:tr>
      <w:tr w:rsidR="009014E7" w:rsidRPr="007075B2" w14:paraId="7B5B64C2" w14:textId="77777777" w:rsidTr="008F7F5F">
        <w:tc>
          <w:tcPr>
            <w:tcW w:w="7792" w:type="dxa"/>
            <w:tcBorders>
              <w:top w:val="nil"/>
              <w:left w:val="single" w:sz="8" w:space="0" w:color="auto"/>
              <w:bottom w:val="single" w:sz="8" w:space="0" w:color="auto"/>
              <w:right w:val="single" w:sz="8" w:space="0" w:color="auto"/>
            </w:tcBorders>
          </w:tcPr>
          <w:p w14:paraId="54EBF0BB" w14:textId="1F86C092" w:rsidR="009014E7" w:rsidRPr="007075B2" w:rsidRDefault="009014E7" w:rsidP="00765216">
            <w:pPr>
              <w:autoSpaceDE w:val="0"/>
              <w:autoSpaceDN w:val="0"/>
              <w:jc w:val="both"/>
            </w:pPr>
            <w:r w:rsidRPr="007075B2">
              <w:rPr>
                <w:lang w:eastAsia="en-US"/>
              </w:rPr>
              <w:t xml:space="preserve">HEA: </w:t>
            </w:r>
            <w:r w:rsidR="005F24C8" w:rsidRPr="007075B2">
              <w:rPr>
                <w:lang w:eastAsia="en-US"/>
              </w:rPr>
              <w:t xml:space="preserve">Hankija näeb, </w:t>
            </w:r>
            <w:r w:rsidR="00055EFB" w:rsidRPr="007075B2">
              <w:rPr>
                <w:lang w:eastAsia="en-US"/>
              </w:rPr>
              <w:t xml:space="preserve">et </w:t>
            </w:r>
            <w:r w:rsidR="005F24C8" w:rsidRPr="007075B2">
              <w:rPr>
                <w:lang w:eastAsia="en-US"/>
              </w:rPr>
              <w:t>pakkumuses esitatud</w:t>
            </w:r>
            <w:r w:rsidRPr="007075B2">
              <w:rPr>
                <w:lang w:eastAsia="en-US"/>
              </w:rPr>
              <w:t xml:space="preserve"> meeskonna liikmete tööjaotus </w:t>
            </w:r>
            <w:r w:rsidR="005F24C8" w:rsidRPr="007075B2">
              <w:rPr>
                <w:lang w:eastAsia="en-US"/>
              </w:rPr>
              <w:t>töö</w:t>
            </w:r>
            <w:r w:rsidRPr="007075B2">
              <w:rPr>
                <w:lang w:eastAsia="en-US"/>
              </w:rPr>
              <w:t xml:space="preserve"> teostamiseks </w:t>
            </w:r>
            <w:r w:rsidR="005F24C8" w:rsidRPr="007075B2">
              <w:rPr>
                <w:lang w:eastAsia="en-US"/>
              </w:rPr>
              <w:t xml:space="preserve">on </w:t>
            </w:r>
            <w:r w:rsidRPr="007075B2">
              <w:rPr>
                <w:lang w:eastAsia="en-US"/>
              </w:rPr>
              <w:t>üldiselt sobiv. Kirjelduses või tööjaotuses esinevad üksikud mittepõhimõttelised puudujäägid või vastuolud.</w:t>
            </w:r>
          </w:p>
        </w:tc>
        <w:tc>
          <w:tcPr>
            <w:tcW w:w="1270" w:type="dxa"/>
          </w:tcPr>
          <w:p w14:paraId="7A7F292C" w14:textId="7E75FC78" w:rsidR="009014E7" w:rsidRPr="007075B2" w:rsidRDefault="00470607" w:rsidP="00765216">
            <w:pPr>
              <w:jc w:val="center"/>
            </w:pPr>
            <w:r>
              <w:t>10</w:t>
            </w:r>
          </w:p>
        </w:tc>
      </w:tr>
      <w:tr w:rsidR="009014E7" w:rsidRPr="007075B2" w14:paraId="64272A8E" w14:textId="77777777" w:rsidTr="008F7F5F">
        <w:tc>
          <w:tcPr>
            <w:tcW w:w="7792" w:type="dxa"/>
            <w:tcBorders>
              <w:top w:val="nil"/>
              <w:left w:val="single" w:sz="8" w:space="0" w:color="auto"/>
              <w:bottom w:val="single" w:sz="8" w:space="0" w:color="auto"/>
              <w:right w:val="single" w:sz="8" w:space="0" w:color="auto"/>
            </w:tcBorders>
          </w:tcPr>
          <w:p w14:paraId="253E4F27" w14:textId="625AB3BA" w:rsidR="009014E7" w:rsidRPr="007075B2" w:rsidRDefault="009014E7" w:rsidP="00765216">
            <w:pPr>
              <w:jc w:val="both"/>
            </w:pPr>
            <w:r w:rsidRPr="007075B2">
              <w:rPr>
                <w:lang w:eastAsia="en-US"/>
              </w:rPr>
              <w:t xml:space="preserve">RAHULDAV: </w:t>
            </w:r>
            <w:r w:rsidR="003D06BC" w:rsidRPr="007075B2">
              <w:rPr>
                <w:lang w:eastAsia="en-US"/>
              </w:rPr>
              <w:t xml:space="preserve">Hankija näeb, et pakkumuses esitatud meeskonna koosseisu või selle tööjaotuse osas esinevad puudujäägid või vastuolud või on esitatud kirjeldus üldsõnaline või pole ammendav. </w:t>
            </w:r>
            <w:r w:rsidRPr="007075B2">
              <w:rPr>
                <w:lang w:eastAsia="en-US"/>
              </w:rPr>
              <w:t xml:space="preserve">Hankijal ei kujunenud esitatud pakkumuse alusel kindlat veendumust, et pakkuja suudab </w:t>
            </w:r>
            <w:r w:rsidR="00080D79" w:rsidRPr="007075B2">
              <w:rPr>
                <w:lang w:eastAsia="en-US"/>
              </w:rPr>
              <w:t>planeeringu</w:t>
            </w:r>
            <w:r w:rsidRPr="007075B2">
              <w:rPr>
                <w:lang w:eastAsia="en-US"/>
              </w:rPr>
              <w:t xml:space="preserve"> kvaliteetselt teostada. </w:t>
            </w:r>
            <w:r w:rsidR="005F24C8" w:rsidRPr="007075B2">
              <w:rPr>
                <w:lang w:eastAsia="en-US"/>
              </w:rPr>
              <w:t xml:space="preserve"> </w:t>
            </w:r>
          </w:p>
        </w:tc>
        <w:tc>
          <w:tcPr>
            <w:tcW w:w="1270" w:type="dxa"/>
          </w:tcPr>
          <w:p w14:paraId="626F5545" w14:textId="760A698C" w:rsidR="009014E7" w:rsidRPr="007075B2" w:rsidRDefault="00470607" w:rsidP="00765216">
            <w:pPr>
              <w:jc w:val="center"/>
            </w:pPr>
            <w:r>
              <w:t>5</w:t>
            </w:r>
          </w:p>
        </w:tc>
      </w:tr>
    </w:tbl>
    <w:p w14:paraId="2DFF803A" w14:textId="77777777" w:rsidR="00833AEF" w:rsidRDefault="00833AEF" w:rsidP="00765216">
      <w:pPr>
        <w:tabs>
          <w:tab w:val="left" w:pos="915"/>
        </w:tabs>
        <w:jc w:val="both"/>
        <w:rPr>
          <w:lang w:eastAsia="en-US"/>
        </w:rPr>
      </w:pPr>
    </w:p>
    <w:p w14:paraId="45BCD664" w14:textId="77777777" w:rsidR="00135245" w:rsidRDefault="00135245" w:rsidP="00135245">
      <w:pPr>
        <w:jc w:val="both"/>
        <w:rPr>
          <w:rFonts w:ascii="Georgia" w:hAnsi="Georgia"/>
          <w:b/>
          <w:color w:val="000000" w:themeColor="text1"/>
          <w:sz w:val="22"/>
          <w:szCs w:val="22"/>
        </w:rPr>
      </w:pPr>
    </w:p>
    <w:p w14:paraId="2F5FAB82" w14:textId="77777777" w:rsidR="005E6F2A" w:rsidRDefault="005E6F2A" w:rsidP="005E6F2A">
      <w:pPr>
        <w:rPr>
          <w:rFonts w:ascii="Georgia" w:hAnsi="Georgia"/>
          <w:sz w:val="22"/>
          <w:szCs w:val="22"/>
        </w:rPr>
      </w:pPr>
    </w:p>
    <w:tbl>
      <w:tblPr>
        <w:tblStyle w:val="TableGrid"/>
        <w:tblW w:w="0" w:type="auto"/>
        <w:tblLayout w:type="fixed"/>
        <w:tblLook w:val="04A0" w:firstRow="1" w:lastRow="0" w:firstColumn="1" w:lastColumn="0" w:noHBand="0" w:noVBand="1"/>
      </w:tblPr>
      <w:tblGrid>
        <w:gridCol w:w="7792"/>
        <w:gridCol w:w="1270"/>
      </w:tblGrid>
      <w:tr w:rsidR="005E6F2A" w:rsidRPr="007075B2" w14:paraId="4B52AAD4" w14:textId="77777777" w:rsidTr="005E6F2A">
        <w:tc>
          <w:tcPr>
            <w:tcW w:w="7792" w:type="dxa"/>
            <w:shd w:val="clear" w:color="auto" w:fill="D9D9D9" w:themeFill="background1" w:themeFillShade="D9"/>
          </w:tcPr>
          <w:p w14:paraId="4CD62B82" w14:textId="385F1FE7" w:rsidR="005E6F2A" w:rsidRPr="007075B2" w:rsidRDefault="009B62FC" w:rsidP="005A77F9">
            <w:pPr>
              <w:jc w:val="both"/>
              <w:rPr>
                <w:highlight w:val="yellow"/>
              </w:rPr>
            </w:pPr>
            <w:r>
              <w:rPr>
                <w:b/>
              </w:rPr>
              <w:t xml:space="preserve">2.4 </w:t>
            </w:r>
            <w:r w:rsidR="005E6F2A" w:rsidRPr="007075B2">
              <w:rPr>
                <w:b/>
              </w:rPr>
              <w:t>Töö läbiviimise metoodikaga ja läbiviimisega seotud riskide ning nende maandamiseks vajalike tegevuste kirjeldus</w:t>
            </w:r>
            <w:r w:rsidR="005A77F9">
              <w:rPr>
                <w:b/>
              </w:rPr>
              <w:t xml:space="preserve"> </w:t>
            </w:r>
            <w:r w:rsidR="005E6F2A" w:rsidRPr="007075B2">
              <w:rPr>
                <w:b/>
                <w:bCs/>
              </w:rPr>
              <w:t xml:space="preserve">- maksimaalselt </w:t>
            </w:r>
            <w:r w:rsidR="00FB2ABA">
              <w:rPr>
                <w:b/>
                <w:bCs/>
              </w:rPr>
              <w:t>5</w:t>
            </w:r>
            <w:r w:rsidR="005E6F2A" w:rsidRPr="007075B2">
              <w:rPr>
                <w:b/>
                <w:bCs/>
              </w:rPr>
              <w:t xml:space="preserve"> punkti</w:t>
            </w:r>
            <w:r w:rsidR="005A77F9">
              <w:rPr>
                <w:b/>
                <w:bCs/>
              </w:rPr>
              <w:t>.</w:t>
            </w:r>
          </w:p>
        </w:tc>
        <w:tc>
          <w:tcPr>
            <w:tcW w:w="1270" w:type="dxa"/>
            <w:shd w:val="clear" w:color="auto" w:fill="D9D9D9" w:themeFill="background1" w:themeFillShade="D9"/>
          </w:tcPr>
          <w:p w14:paraId="4F500167" w14:textId="77777777" w:rsidR="005E6F2A" w:rsidRPr="007075B2" w:rsidRDefault="005E6F2A" w:rsidP="00A9788F">
            <w:pPr>
              <w:rPr>
                <w:b/>
              </w:rPr>
            </w:pPr>
            <w:r w:rsidRPr="007075B2">
              <w:rPr>
                <w:b/>
              </w:rPr>
              <w:t>Väärtus-punktide arv</w:t>
            </w:r>
          </w:p>
        </w:tc>
      </w:tr>
      <w:tr w:rsidR="005E6F2A" w:rsidRPr="007075B2" w14:paraId="0D45EA18" w14:textId="77777777" w:rsidTr="00A9788F">
        <w:tc>
          <w:tcPr>
            <w:tcW w:w="7792" w:type="dxa"/>
          </w:tcPr>
          <w:p w14:paraId="1A7D0C07" w14:textId="6F35F474" w:rsidR="005E6F2A" w:rsidRPr="007075B2" w:rsidRDefault="005E6F2A" w:rsidP="00A621CF">
            <w:pPr>
              <w:pStyle w:val="Default"/>
              <w:jc w:val="both"/>
            </w:pPr>
            <w:r w:rsidRPr="007075B2">
              <w:rPr>
                <w:rFonts w:ascii="Times New Roman" w:hAnsi="Times New Roman" w:cs="Times New Roman"/>
              </w:rPr>
              <w:t>SUUREPÄRANE: Töö läbiviimisega seotud riskianalüüs on põhjalik, läbimõeldud ja ammendav ning ületab hankija ootusi. Väljapakutud maandamismeetmed on realistlikud, selgelt ja arusaadavalt põhjendatud ning</w:t>
            </w:r>
            <w:r w:rsidRPr="007075B2">
              <w:rPr>
                <w:rFonts w:ascii="Times New Roman" w:eastAsia="ヒラギノ角ゴ Pro W3" w:hAnsi="Times New Roman" w:cs="Times New Roman"/>
                <w:bCs/>
              </w:rPr>
              <w:t xml:space="preserve"> tagavad töö käigus tekkivate võimalike probleemide lahendamise töö kvaliteetseks teostamiseks</w:t>
            </w:r>
            <w:r w:rsidRPr="007075B2">
              <w:rPr>
                <w:rFonts w:ascii="Times New Roman" w:hAnsi="Times New Roman" w:cs="Times New Roman"/>
              </w:rPr>
              <w:t xml:space="preserve">. Riskianalüüs hõlmab kogu töö metoodilist lähenemist, sh on välja toodud: 1) Töö koostamise peamiste põhimõtete ja meetoditega seotud riskid, hinnangud riskide olulisusele ja esinemise tõenäosusele </w:t>
            </w:r>
            <w:r w:rsidRPr="007075B2">
              <w:rPr>
                <w:rFonts w:ascii="Times New Roman" w:eastAsia="ヒラギノ角ゴ Pro W3" w:hAnsi="Times New Roman" w:cs="Times New Roman"/>
                <w:iCs/>
              </w:rPr>
              <w:t>ning riskide maandamise meetmete kirjeldus ja vastutavad isikud</w:t>
            </w:r>
            <w:r w:rsidRPr="007075B2">
              <w:rPr>
                <w:rFonts w:ascii="Times New Roman" w:hAnsi="Times New Roman" w:cs="Times New Roman"/>
              </w:rPr>
              <w:t xml:space="preserve">; 2) </w:t>
            </w:r>
            <w:r w:rsidRPr="007075B2">
              <w:rPr>
                <w:rFonts w:ascii="Times New Roman" w:eastAsia="ヒラギノ角ゴ Pro W3" w:hAnsi="Times New Roman" w:cs="Times New Roman"/>
                <w:iCs/>
              </w:rPr>
              <w:t xml:space="preserve">Kommunikatsiooni ja huvigruppide kaasamisega seotud riskid, </w:t>
            </w:r>
            <w:r w:rsidRPr="007075B2">
              <w:rPr>
                <w:rFonts w:ascii="Times New Roman" w:hAnsi="Times New Roman" w:cs="Times New Roman"/>
              </w:rPr>
              <w:t>hinnangud riskide olulisusele ja esinemise tõenäosusele</w:t>
            </w:r>
            <w:r w:rsidRPr="007075B2">
              <w:rPr>
                <w:rFonts w:ascii="Times New Roman" w:eastAsia="ヒラギノ角ゴ Pro W3" w:hAnsi="Times New Roman" w:cs="Times New Roman"/>
                <w:iCs/>
              </w:rPr>
              <w:t xml:space="preserve"> ning riskide maandamise meetmete kirjeldus ja vastutavad isikud; 3) Meeskonnaga seotud riskid, </w:t>
            </w:r>
            <w:r w:rsidRPr="007075B2">
              <w:rPr>
                <w:rFonts w:ascii="Times New Roman" w:hAnsi="Times New Roman" w:cs="Times New Roman"/>
              </w:rPr>
              <w:t>hinnang riski olulisusele ja esinemise tõenäosusele</w:t>
            </w:r>
            <w:r w:rsidRPr="007075B2">
              <w:rPr>
                <w:rFonts w:ascii="Times New Roman" w:eastAsia="ヒラギノ角ゴ Pro W3" w:hAnsi="Times New Roman" w:cs="Times New Roman"/>
                <w:iCs/>
              </w:rPr>
              <w:t xml:space="preserve"> ning riski maandamise meetmete kirjeldus ja vastutavad isikud; 4) Ajakavaga seotud riskid, </w:t>
            </w:r>
            <w:r w:rsidRPr="007075B2">
              <w:rPr>
                <w:rFonts w:ascii="Times New Roman" w:hAnsi="Times New Roman" w:cs="Times New Roman"/>
              </w:rPr>
              <w:t xml:space="preserve">hinnang riski olulisusele </w:t>
            </w:r>
            <w:r w:rsidRPr="00A621CF">
              <w:rPr>
                <w:rFonts w:ascii="Times New Roman" w:hAnsi="Times New Roman" w:cs="Times New Roman"/>
              </w:rPr>
              <w:t>ja esinemise tõenäosusele</w:t>
            </w:r>
            <w:r w:rsidRPr="00A621CF">
              <w:rPr>
                <w:rFonts w:ascii="Times New Roman" w:eastAsia="ヒラギノ角ゴ Pro W3" w:hAnsi="Times New Roman" w:cs="Times New Roman"/>
                <w:iCs/>
              </w:rPr>
              <w:t xml:space="preserve"> ning riski maandamise meetmete kirjeldus ja vastutavad isikud; 5) Muud olulised riskid, </w:t>
            </w:r>
            <w:r w:rsidRPr="00A621CF">
              <w:rPr>
                <w:rFonts w:ascii="Times New Roman" w:hAnsi="Times New Roman" w:cs="Times New Roman"/>
              </w:rPr>
              <w:t>hinnang riskide olulisusele ja esinemise tõenäosusele</w:t>
            </w:r>
            <w:r w:rsidRPr="00A621CF">
              <w:rPr>
                <w:rFonts w:ascii="Times New Roman" w:eastAsia="ヒラギノ角ゴ Pro W3" w:hAnsi="Times New Roman" w:cs="Times New Roman"/>
                <w:iCs/>
              </w:rPr>
              <w:t xml:space="preserve"> ning riskide maandamise meetmete kirjeldus ja vastutavad isikud.</w:t>
            </w:r>
            <w:r w:rsidR="00A621CF" w:rsidRPr="00A621CF">
              <w:rPr>
                <w:rFonts w:ascii="Times New Roman" w:eastAsia="ヒラギノ角ゴ Pro W3" w:hAnsi="Times New Roman" w:cs="Times New Roman"/>
                <w:iCs/>
              </w:rPr>
              <w:t xml:space="preserve"> </w:t>
            </w:r>
            <w:r w:rsidRPr="00A621CF">
              <w:rPr>
                <w:rFonts w:ascii="Times New Roman" w:hAnsi="Times New Roman" w:cs="Times New Roman"/>
              </w:rPr>
              <w:t>Tulenevalt kavandatud metoodikatest on pakkuja kirjeldanud mitmeid täiendavaid hankija poolt aktsepteerimist leidvaid võimalikke riske, nende maandamismeetmeid, mis võimaldavad töö eesmärke efektiivsemalt saavutada.</w:t>
            </w:r>
          </w:p>
        </w:tc>
        <w:tc>
          <w:tcPr>
            <w:tcW w:w="1270" w:type="dxa"/>
          </w:tcPr>
          <w:p w14:paraId="4A432742" w14:textId="55A3A568" w:rsidR="005E6F2A" w:rsidRPr="007075B2" w:rsidRDefault="00FB2ABA" w:rsidP="00A9788F">
            <w:pPr>
              <w:jc w:val="center"/>
            </w:pPr>
            <w:r>
              <w:t>5</w:t>
            </w:r>
          </w:p>
        </w:tc>
      </w:tr>
      <w:tr w:rsidR="005E6F2A" w:rsidRPr="007075B2" w14:paraId="1EC26322" w14:textId="77777777" w:rsidTr="00A9788F">
        <w:tc>
          <w:tcPr>
            <w:tcW w:w="7792" w:type="dxa"/>
          </w:tcPr>
          <w:p w14:paraId="4E324966" w14:textId="12D04363" w:rsidR="005E6F2A" w:rsidRPr="007075B2" w:rsidRDefault="005E6F2A" w:rsidP="00A9788F">
            <w:pPr>
              <w:autoSpaceDE w:val="0"/>
              <w:autoSpaceDN w:val="0"/>
              <w:adjustRightInd w:val="0"/>
              <w:jc w:val="both"/>
              <w:rPr>
                <w:highlight w:val="yellow"/>
              </w:rPr>
            </w:pPr>
            <w:r w:rsidRPr="007075B2">
              <w:t xml:space="preserve">HEA: Töö läbiviimisega seotud riskianalüüs on piisav, ja arusaadav ning kirjeldatu vastab üldjoontes hankija ootustele, kuid </w:t>
            </w:r>
            <w:r w:rsidR="009E1129">
              <w:t>d</w:t>
            </w:r>
            <w:r w:rsidRPr="007075B2">
              <w:t xml:space="preserve">etailide osas esinevad üksikud mittepõhimõttelised puudujäägid ja/või ebatäpsused, mis ei takista töö eesmärkide täitmist. Väljapakutud maandamismeetmed on realistlikud ja need on piisavad olulisemate probleemolukordade lahendamiseks. Hankijal tekkisid väljapakutud riskide ja nende maandamismeetmete osas üksikud mittepõhimõttelised küsimused (puudujäägid, vastuolud ja/või ebatäpsused), kuid need ei ole hankija hinnangul oluliseks takistuseks töö kvaliteetsel teostamisel. Riskianalüüs hõlmab piisaval määral töö metoodilist lähenemist, sh on välja toodud: 1) Töö koostamise peamiste põhimõtete ja meetoditega seotud riskid </w:t>
            </w:r>
            <w:r w:rsidRPr="007075B2">
              <w:rPr>
                <w:rFonts w:eastAsia="ヒラギノ角ゴ Pro W3"/>
                <w:iCs/>
              </w:rPr>
              <w:t>ning nende maandamise meetmete kirjeldus ja vastutavad isikud</w:t>
            </w:r>
            <w:r w:rsidRPr="007075B2">
              <w:t xml:space="preserve">; 2) </w:t>
            </w:r>
            <w:r w:rsidRPr="007075B2">
              <w:rPr>
                <w:rFonts w:eastAsia="ヒラギノ角ゴ Pro W3"/>
                <w:iCs/>
              </w:rPr>
              <w:t>Kommunikatsiooni ja huvigruppide kaasamisega seotud riskid ning nende maandamise meetmete kirjeldus ja vastutavad isikud; 3) Meeskonnaga seotud riskid ning selle maandamise meetmete kirjeldus ja vastutavad isikud; 4) Ajakavaga seotud riskid ning selle maandamise meetmete kirjeldus ja vastutavad isikud.</w:t>
            </w:r>
          </w:p>
        </w:tc>
        <w:tc>
          <w:tcPr>
            <w:tcW w:w="1270" w:type="dxa"/>
          </w:tcPr>
          <w:p w14:paraId="7A36AE1C" w14:textId="563AC5B1" w:rsidR="005E6F2A" w:rsidRPr="007075B2" w:rsidRDefault="00FB2ABA" w:rsidP="00A9788F">
            <w:pPr>
              <w:jc w:val="center"/>
            </w:pPr>
            <w:r>
              <w:t>3</w:t>
            </w:r>
          </w:p>
        </w:tc>
      </w:tr>
      <w:tr w:rsidR="005E6F2A" w:rsidRPr="007075B2" w14:paraId="645B9172" w14:textId="77777777" w:rsidTr="00A9788F">
        <w:tc>
          <w:tcPr>
            <w:tcW w:w="7792" w:type="dxa"/>
          </w:tcPr>
          <w:p w14:paraId="2261C5AD" w14:textId="49B8ADE9" w:rsidR="005E6F2A" w:rsidRPr="007075B2" w:rsidRDefault="005E6F2A" w:rsidP="00A9788F">
            <w:pPr>
              <w:autoSpaceDE w:val="0"/>
              <w:autoSpaceDN w:val="0"/>
              <w:adjustRightInd w:val="0"/>
              <w:jc w:val="both"/>
              <w:rPr>
                <w:rFonts w:eastAsia="ヒラギノ角ゴ Pro W3"/>
                <w:bCs/>
                <w:color w:val="000000"/>
              </w:rPr>
            </w:pPr>
            <w:r w:rsidRPr="007075B2">
              <w:t xml:space="preserve">RAHULDAV: Töö läbiviimisega seotud riskianalüüsis esineb olulisi puudujääke, st riskide kirjeldus ei olnud ammendav ja/või maandamismeetmed olid ebarealistlikud või puudulikud, puuduvad hinnangud riskide olulisusele ja esinemise tõenäosusele ja/või puuduvad vastutavad isikud järgmises osas: 1) Töö koostamise peamiste põhimõtete ja meetoditega seotud riskid </w:t>
            </w:r>
            <w:r w:rsidRPr="007075B2">
              <w:rPr>
                <w:rFonts w:eastAsia="ヒラギノ角ゴ Pro W3"/>
                <w:iCs/>
              </w:rPr>
              <w:t>ning nende maandamise meetmete kirjeldus ja vastutavad isikud</w:t>
            </w:r>
            <w:r w:rsidRPr="007075B2">
              <w:t xml:space="preserve">; 2) </w:t>
            </w:r>
            <w:r w:rsidRPr="007075B2">
              <w:rPr>
                <w:rFonts w:eastAsia="ヒラギノ角ゴ Pro W3"/>
                <w:iCs/>
              </w:rPr>
              <w:t>Kommunikatsiooni ja huvigruppide kaasamisega seotud riskid ning nende maandamise meetmete kirjeldus ja vastutavad isikud; 3) Meeskonnaga seotud riskid ning selle maandamise meetmete kirjeldus ja vastutavad isikud; 4) Ajakavaga seotud riskid ning selle maandamise meetmete kirjeldus ja vastutavad isikud.</w:t>
            </w:r>
          </w:p>
          <w:p w14:paraId="1BE94BC7" w14:textId="77777777" w:rsidR="005E6F2A" w:rsidRPr="007075B2" w:rsidRDefault="005E6F2A" w:rsidP="00A9788F">
            <w:pPr>
              <w:autoSpaceDE w:val="0"/>
              <w:autoSpaceDN w:val="0"/>
              <w:adjustRightInd w:val="0"/>
              <w:jc w:val="both"/>
              <w:rPr>
                <w:rFonts w:eastAsia="ヒラギノ角ゴ Pro W3"/>
                <w:bCs/>
                <w:color w:val="000000"/>
                <w:highlight w:val="yellow"/>
              </w:rPr>
            </w:pPr>
            <w:r w:rsidRPr="007075B2">
              <w:t xml:space="preserve">Hankijal tekkis väljapakutud riskide ja nende maandamismeetmete osas hulgaliselt küsimusi. Hankija hinnangul on suur risk, et </w:t>
            </w:r>
            <w:r w:rsidRPr="007075B2">
              <w:rPr>
                <w:rFonts w:eastAsia="ヒラギノ角ゴ Pro W3"/>
                <w:bCs/>
                <w:color w:val="000000"/>
              </w:rPr>
              <w:t>pakkuja ei suuda adekvaatselt lahendada uuringu käigus esile kerkida võivaid probleemolukordi.</w:t>
            </w:r>
          </w:p>
        </w:tc>
        <w:tc>
          <w:tcPr>
            <w:tcW w:w="1270" w:type="dxa"/>
          </w:tcPr>
          <w:p w14:paraId="600CC12C" w14:textId="6460CD4D" w:rsidR="005E6F2A" w:rsidRPr="007075B2" w:rsidRDefault="00FB2ABA" w:rsidP="00A9788F">
            <w:pPr>
              <w:jc w:val="center"/>
            </w:pPr>
            <w:r>
              <w:t>1</w:t>
            </w:r>
          </w:p>
        </w:tc>
      </w:tr>
    </w:tbl>
    <w:p w14:paraId="2A52BE28" w14:textId="77777777" w:rsidR="005E6F2A" w:rsidRDefault="005E6F2A" w:rsidP="005E6F2A">
      <w:pPr>
        <w:rPr>
          <w:rFonts w:ascii="Georgia" w:hAnsi="Georgia"/>
          <w:sz w:val="22"/>
          <w:szCs w:val="22"/>
        </w:rPr>
      </w:pPr>
    </w:p>
    <w:p w14:paraId="4B66EC0D" w14:textId="77777777" w:rsidR="005E6F2A" w:rsidRDefault="005E6F2A" w:rsidP="005E6F2A">
      <w:pPr>
        <w:rPr>
          <w:rFonts w:ascii="Georgia" w:hAnsi="Georgia"/>
          <w:sz w:val="22"/>
          <w:szCs w:val="22"/>
        </w:rPr>
      </w:pPr>
    </w:p>
    <w:p w14:paraId="214E6040" w14:textId="77777777" w:rsidR="00135245" w:rsidRPr="00C94EAA" w:rsidRDefault="00135245" w:rsidP="00135245">
      <w:pPr>
        <w:jc w:val="both"/>
        <w:rPr>
          <w:b/>
          <w:color w:val="000000" w:themeColor="text1"/>
        </w:rPr>
      </w:pPr>
    </w:p>
    <w:tbl>
      <w:tblPr>
        <w:tblStyle w:val="TableGrid"/>
        <w:tblW w:w="9062" w:type="dxa"/>
        <w:jc w:val="center"/>
        <w:tblLayout w:type="fixed"/>
        <w:tblLook w:val="04A0" w:firstRow="1" w:lastRow="0" w:firstColumn="1" w:lastColumn="0" w:noHBand="0" w:noVBand="1"/>
      </w:tblPr>
      <w:tblGrid>
        <w:gridCol w:w="7508"/>
        <w:gridCol w:w="1554"/>
      </w:tblGrid>
      <w:tr w:rsidR="00135245" w:rsidRPr="00C94EAA" w14:paraId="2E565E10" w14:textId="77777777" w:rsidTr="005E6F2A">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C2AF5" w14:textId="0CF76259" w:rsidR="00D63C57" w:rsidRPr="009B62FC" w:rsidRDefault="00135245" w:rsidP="009B62FC">
            <w:pPr>
              <w:pStyle w:val="ListParagraph"/>
              <w:numPr>
                <w:ilvl w:val="0"/>
                <w:numId w:val="7"/>
              </w:numPr>
              <w:autoSpaceDE w:val="0"/>
              <w:autoSpaceDN w:val="0"/>
              <w:adjustRightInd w:val="0"/>
              <w:rPr>
                <w:b/>
                <w:bCs/>
                <w:lang w:eastAsia="en-US"/>
              </w:rPr>
            </w:pPr>
            <w:r w:rsidRPr="009B62FC">
              <w:rPr>
                <w:b/>
                <w:bCs/>
                <w:lang w:eastAsia="en-US"/>
              </w:rPr>
              <w:t>Töö- ja pereelu ühildamine hankelepingu täitmisel –  maksimaalselt 5 punkti</w:t>
            </w:r>
            <w:r w:rsidR="00C94EAA" w:rsidRPr="009B62FC">
              <w:rPr>
                <w:b/>
                <w:bCs/>
                <w:lang w:eastAsia="en-US"/>
              </w:rPr>
              <w:t xml:space="preserve">. </w:t>
            </w:r>
          </w:p>
          <w:p w14:paraId="6B35B6B7" w14:textId="6D4B6491" w:rsidR="00D63C57" w:rsidRDefault="00D63C57" w:rsidP="00C94EAA">
            <w:pPr>
              <w:autoSpaceDE w:val="0"/>
              <w:autoSpaceDN w:val="0"/>
              <w:adjustRightInd w:val="0"/>
              <w:rPr>
                <w:b/>
                <w:bCs/>
                <w:lang w:eastAsia="en-US"/>
              </w:rPr>
            </w:pPr>
          </w:p>
          <w:p w14:paraId="005E0DAF" w14:textId="51D8C332" w:rsidR="00D63C57" w:rsidRPr="00D63C57" w:rsidRDefault="00D63C57" w:rsidP="00D63C57">
            <w:pPr>
              <w:autoSpaceDE w:val="0"/>
              <w:autoSpaceDN w:val="0"/>
              <w:adjustRightInd w:val="0"/>
              <w:jc w:val="both"/>
              <w:rPr>
                <w:lang w:eastAsia="en-US"/>
              </w:rPr>
            </w:pPr>
            <w:r w:rsidRPr="00D63C57">
              <w:rPr>
                <w:lang w:eastAsia="en-US"/>
              </w:rPr>
              <w:t>Kui pakkuja ei ole töö- ja pereelu ühildamise kirjeldust pakkumuses esitanud, siis pakkumusele selles kriteeriumis punkte ei omistata.</w:t>
            </w:r>
          </w:p>
          <w:p w14:paraId="447C6C63" w14:textId="77777777" w:rsidR="00D63C57" w:rsidRDefault="00D63C57" w:rsidP="00C94EAA">
            <w:pPr>
              <w:autoSpaceDE w:val="0"/>
              <w:autoSpaceDN w:val="0"/>
              <w:adjustRightInd w:val="0"/>
              <w:rPr>
                <w:b/>
                <w:bCs/>
                <w:lang w:eastAsia="en-US"/>
              </w:rPr>
            </w:pPr>
          </w:p>
          <w:p w14:paraId="68054C71" w14:textId="19AF0A95" w:rsidR="00135245" w:rsidRPr="00C94EAA" w:rsidRDefault="00135245" w:rsidP="00C94EAA">
            <w:pPr>
              <w:autoSpaceDE w:val="0"/>
              <w:autoSpaceDN w:val="0"/>
              <w:adjustRightInd w:val="0"/>
              <w:rPr>
                <w:b/>
                <w:bCs/>
                <w:lang w:eastAsia="en-US"/>
              </w:rPr>
            </w:pPr>
            <w:r w:rsidRPr="00C94EAA">
              <w:t>Hankija hindab pakkuja esitatud kirjeldust  töö- ja pereelu ühildamise kohta vastavalt alljärgnevale:</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2821D" w14:textId="77777777" w:rsidR="00135245" w:rsidRPr="00C94EAA" w:rsidRDefault="00135245" w:rsidP="001F5C1B">
            <w:pPr>
              <w:jc w:val="center"/>
              <w:rPr>
                <w:b/>
                <w:lang w:eastAsia="en-US"/>
              </w:rPr>
            </w:pPr>
            <w:r w:rsidRPr="00C94EAA">
              <w:rPr>
                <w:b/>
                <w:lang w:eastAsia="en-US"/>
              </w:rPr>
              <w:t>Väärtus-punktide arv</w:t>
            </w:r>
          </w:p>
        </w:tc>
      </w:tr>
      <w:tr w:rsidR="00135245" w:rsidRPr="00C94EAA" w14:paraId="7632F3A7" w14:textId="77777777" w:rsidTr="001F5C1B">
        <w:trPr>
          <w:jc w:val="center"/>
        </w:trPr>
        <w:tc>
          <w:tcPr>
            <w:tcW w:w="7508" w:type="dxa"/>
            <w:tcBorders>
              <w:top w:val="single" w:sz="4" w:space="0" w:color="auto"/>
              <w:left w:val="single" w:sz="4" w:space="0" w:color="auto"/>
              <w:bottom w:val="single" w:sz="4" w:space="0" w:color="auto"/>
              <w:right w:val="single" w:sz="4" w:space="0" w:color="auto"/>
            </w:tcBorders>
          </w:tcPr>
          <w:p w14:paraId="047CB9AC" w14:textId="77777777" w:rsidR="00135245" w:rsidRPr="00C94EAA" w:rsidRDefault="00135245" w:rsidP="001F5C1B">
            <w:pPr>
              <w:widowControl w:val="0"/>
              <w:tabs>
                <w:tab w:val="left" w:pos="1080"/>
                <w:tab w:val="left" w:pos="1440"/>
              </w:tabs>
              <w:ind w:left="31"/>
              <w:contextualSpacing/>
              <w:jc w:val="both"/>
              <w:rPr>
                <w:lang w:eastAsia="en-US"/>
              </w:rPr>
            </w:pPr>
            <w:r w:rsidRPr="00C94EAA">
              <w:rPr>
                <w:lang w:eastAsia="en-US"/>
              </w:rPr>
              <w:t>Pakkuja esitatud kirjeldus selgitab töö- ja pereelu ühildamist, hankija hinnangul on pakkuja lahendused põhjalikult läbi mõeldud, argumenteeritud ja loovad lisandväärtust hankelepingu täitmisel töö- ja pereelu ühildamisel.</w:t>
            </w:r>
          </w:p>
        </w:tc>
        <w:tc>
          <w:tcPr>
            <w:tcW w:w="1554" w:type="dxa"/>
            <w:tcBorders>
              <w:top w:val="single" w:sz="4" w:space="0" w:color="auto"/>
              <w:left w:val="single" w:sz="4" w:space="0" w:color="auto"/>
              <w:bottom w:val="single" w:sz="4" w:space="0" w:color="auto"/>
              <w:right w:val="single" w:sz="4" w:space="0" w:color="auto"/>
            </w:tcBorders>
          </w:tcPr>
          <w:p w14:paraId="3FEBBE9F" w14:textId="77777777" w:rsidR="00135245" w:rsidRPr="00C94EAA" w:rsidRDefault="00135245" w:rsidP="001F5C1B">
            <w:pPr>
              <w:pStyle w:val="CommentText"/>
              <w:jc w:val="center"/>
              <w:rPr>
                <w:sz w:val="24"/>
                <w:szCs w:val="24"/>
              </w:rPr>
            </w:pPr>
          </w:p>
          <w:p w14:paraId="51FCAA02" w14:textId="77777777" w:rsidR="00135245" w:rsidRPr="00C94EAA" w:rsidRDefault="00135245" w:rsidP="001F5C1B">
            <w:pPr>
              <w:pStyle w:val="CommentText"/>
              <w:jc w:val="center"/>
              <w:rPr>
                <w:sz w:val="24"/>
                <w:szCs w:val="24"/>
              </w:rPr>
            </w:pPr>
            <w:r w:rsidRPr="00C94EAA">
              <w:rPr>
                <w:sz w:val="24"/>
                <w:szCs w:val="24"/>
              </w:rPr>
              <w:t>5</w:t>
            </w:r>
          </w:p>
          <w:p w14:paraId="248750C9" w14:textId="77777777" w:rsidR="00135245" w:rsidRPr="00C94EAA" w:rsidDel="00EB5BBA" w:rsidRDefault="00135245" w:rsidP="001F5C1B">
            <w:pPr>
              <w:jc w:val="center"/>
              <w:rPr>
                <w:lang w:eastAsia="en-US"/>
              </w:rPr>
            </w:pPr>
          </w:p>
        </w:tc>
      </w:tr>
      <w:tr w:rsidR="00135245" w:rsidRPr="00C94EAA" w14:paraId="6C8762C5" w14:textId="77777777" w:rsidTr="001F5C1B">
        <w:trPr>
          <w:jc w:val="center"/>
        </w:trPr>
        <w:tc>
          <w:tcPr>
            <w:tcW w:w="7508" w:type="dxa"/>
            <w:tcBorders>
              <w:top w:val="single" w:sz="4" w:space="0" w:color="auto"/>
              <w:left w:val="single" w:sz="4" w:space="0" w:color="auto"/>
              <w:bottom w:val="single" w:sz="4" w:space="0" w:color="auto"/>
              <w:right w:val="single" w:sz="4" w:space="0" w:color="auto"/>
            </w:tcBorders>
          </w:tcPr>
          <w:p w14:paraId="1BBA3632" w14:textId="77777777" w:rsidR="00135245" w:rsidRPr="00C94EAA" w:rsidRDefault="00135245" w:rsidP="001F5C1B">
            <w:pPr>
              <w:widowControl w:val="0"/>
              <w:tabs>
                <w:tab w:val="left" w:pos="1080"/>
                <w:tab w:val="left" w:pos="1440"/>
              </w:tabs>
              <w:ind w:left="31"/>
              <w:contextualSpacing/>
              <w:jc w:val="both"/>
              <w:rPr>
                <w:lang w:eastAsia="en-US"/>
              </w:rPr>
            </w:pPr>
            <w:r w:rsidRPr="00C94EAA">
              <w:rPr>
                <w:lang w:eastAsia="en-US"/>
              </w:rPr>
              <w:t>Pakkuja esitatud kirjeldus selgitab töö- ja pereelu ühildamist, hankija hinnangul aitavad kirjeldatud meetmed tagada või parendada hankelepingu täitmisel osalevate töötajate olukorda töö- ja pereelu ühildamisel.</w:t>
            </w:r>
          </w:p>
        </w:tc>
        <w:tc>
          <w:tcPr>
            <w:tcW w:w="1554" w:type="dxa"/>
            <w:tcBorders>
              <w:top w:val="single" w:sz="4" w:space="0" w:color="auto"/>
              <w:left w:val="single" w:sz="4" w:space="0" w:color="auto"/>
              <w:bottom w:val="single" w:sz="4" w:space="0" w:color="auto"/>
              <w:right w:val="single" w:sz="4" w:space="0" w:color="auto"/>
            </w:tcBorders>
          </w:tcPr>
          <w:p w14:paraId="51BDDEA0" w14:textId="77777777" w:rsidR="00135245" w:rsidRPr="00C94EAA" w:rsidRDefault="00135245" w:rsidP="001F5C1B">
            <w:pPr>
              <w:pStyle w:val="CommentText"/>
              <w:jc w:val="center"/>
              <w:rPr>
                <w:sz w:val="24"/>
                <w:szCs w:val="24"/>
              </w:rPr>
            </w:pPr>
          </w:p>
          <w:p w14:paraId="7C127E62" w14:textId="77777777" w:rsidR="00135245" w:rsidRPr="00C94EAA" w:rsidRDefault="00135245" w:rsidP="001F5C1B">
            <w:pPr>
              <w:pStyle w:val="CommentText"/>
              <w:jc w:val="center"/>
              <w:rPr>
                <w:sz w:val="24"/>
                <w:szCs w:val="24"/>
              </w:rPr>
            </w:pPr>
            <w:r w:rsidRPr="00C94EAA">
              <w:rPr>
                <w:sz w:val="24"/>
                <w:szCs w:val="24"/>
              </w:rPr>
              <w:t>3</w:t>
            </w:r>
          </w:p>
        </w:tc>
      </w:tr>
      <w:tr w:rsidR="00135245" w:rsidRPr="00C94EAA" w14:paraId="0A0E6840" w14:textId="77777777" w:rsidTr="001F5C1B">
        <w:trPr>
          <w:jc w:val="center"/>
        </w:trPr>
        <w:tc>
          <w:tcPr>
            <w:tcW w:w="7508" w:type="dxa"/>
            <w:tcBorders>
              <w:top w:val="single" w:sz="4" w:space="0" w:color="auto"/>
              <w:left w:val="single" w:sz="4" w:space="0" w:color="auto"/>
              <w:bottom w:val="single" w:sz="4" w:space="0" w:color="auto"/>
              <w:right w:val="single" w:sz="4" w:space="0" w:color="auto"/>
            </w:tcBorders>
          </w:tcPr>
          <w:p w14:paraId="20E5126F" w14:textId="4647B3FC" w:rsidR="00135245" w:rsidRPr="00C94EAA" w:rsidRDefault="00135245" w:rsidP="001F5C1B">
            <w:pPr>
              <w:widowControl w:val="0"/>
              <w:tabs>
                <w:tab w:val="left" w:pos="1080"/>
                <w:tab w:val="left" w:pos="1440"/>
              </w:tabs>
              <w:ind w:left="31"/>
              <w:contextualSpacing/>
              <w:jc w:val="both"/>
              <w:rPr>
                <w:lang w:eastAsia="en-US"/>
              </w:rPr>
            </w:pPr>
            <w:r w:rsidRPr="00C94EAA">
              <w:rPr>
                <w:lang w:eastAsia="en-US"/>
              </w:rPr>
              <w:t xml:space="preserve">Pakkuja esitatud kirjeldus selgitab töö- ja pereelu ühildamist, kuid hankijas ei teki veendumust, et luuakse lisandväärtust võrreldes Eestis üldisemalt levinud töökorraldusega </w:t>
            </w:r>
            <w:r w:rsidR="009E1F4C">
              <w:rPr>
                <w:lang w:eastAsia="en-US"/>
              </w:rPr>
              <w:t>v</w:t>
            </w:r>
            <w:r w:rsidRPr="00C94EAA">
              <w:rPr>
                <w:lang w:eastAsia="en-US"/>
              </w:rPr>
              <w:t>õi kirjeldusest ei selgu seotus hankelepingu täitmisega.</w:t>
            </w:r>
          </w:p>
        </w:tc>
        <w:tc>
          <w:tcPr>
            <w:tcW w:w="1554" w:type="dxa"/>
            <w:tcBorders>
              <w:top w:val="single" w:sz="4" w:space="0" w:color="auto"/>
              <w:left w:val="single" w:sz="4" w:space="0" w:color="auto"/>
              <w:bottom w:val="single" w:sz="4" w:space="0" w:color="auto"/>
              <w:right w:val="single" w:sz="4" w:space="0" w:color="auto"/>
            </w:tcBorders>
          </w:tcPr>
          <w:p w14:paraId="0F00F156" w14:textId="77777777" w:rsidR="00135245" w:rsidRPr="00C94EAA" w:rsidRDefault="00135245" w:rsidP="001F5C1B">
            <w:pPr>
              <w:pStyle w:val="CommentText"/>
              <w:jc w:val="center"/>
              <w:rPr>
                <w:sz w:val="24"/>
                <w:szCs w:val="24"/>
              </w:rPr>
            </w:pPr>
          </w:p>
          <w:p w14:paraId="32372EE2" w14:textId="77777777" w:rsidR="00135245" w:rsidRPr="00C94EAA" w:rsidRDefault="00135245" w:rsidP="001F5C1B">
            <w:pPr>
              <w:pStyle w:val="CommentText"/>
              <w:jc w:val="center"/>
              <w:rPr>
                <w:sz w:val="24"/>
                <w:szCs w:val="24"/>
              </w:rPr>
            </w:pPr>
            <w:r w:rsidRPr="00C94EAA">
              <w:rPr>
                <w:sz w:val="24"/>
                <w:szCs w:val="24"/>
              </w:rPr>
              <w:t>1</w:t>
            </w:r>
          </w:p>
        </w:tc>
      </w:tr>
    </w:tbl>
    <w:p w14:paraId="28191C73" w14:textId="77777777" w:rsidR="005E6F2A" w:rsidRDefault="005E6F2A" w:rsidP="00A3695F">
      <w:pPr>
        <w:rPr>
          <w:lang w:eastAsia="en-US"/>
        </w:rPr>
      </w:pPr>
    </w:p>
    <w:p w14:paraId="6FE3FD7C" w14:textId="77777777" w:rsidR="00CC3EB9" w:rsidRPr="00CC3EB9" w:rsidRDefault="00CC3EB9" w:rsidP="00CC3EB9">
      <w:pPr>
        <w:rPr>
          <w:lang w:eastAsia="en-US"/>
        </w:rPr>
      </w:pPr>
    </w:p>
    <w:p w14:paraId="12788605" w14:textId="77777777" w:rsidR="00CC3EB9" w:rsidRDefault="00CC3EB9" w:rsidP="00CC3EB9">
      <w:pPr>
        <w:rPr>
          <w:lang w:eastAsia="en-US"/>
        </w:rPr>
      </w:pPr>
    </w:p>
    <w:p w14:paraId="654858A5" w14:textId="77777777" w:rsidR="00CC3EB9" w:rsidRPr="00CC3EB9" w:rsidRDefault="00CC3EB9" w:rsidP="00CC3EB9">
      <w:pPr>
        <w:rPr>
          <w:lang w:eastAsia="en-US"/>
        </w:rPr>
      </w:pPr>
    </w:p>
    <w:sectPr w:rsidR="00CC3EB9" w:rsidRPr="00CC3EB9" w:rsidSect="005E6F2A">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2B38" w14:textId="77777777" w:rsidR="00D45D05" w:rsidRDefault="00D45D05" w:rsidP="002870B9">
      <w:r>
        <w:separator/>
      </w:r>
    </w:p>
  </w:endnote>
  <w:endnote w:type="continuationSeparator" w:id="0">
    <w:p w14:paraId="34668A46" w14:textId="77777777" w:rsidR="00D45D05" w:rsidRDefault="00D45D05" w:rsidP="0028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ヒラギノ角ゴ Pro W3">
    <w:altName w:val="Times New Roman"/>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7886"/>
      <w:docPartObj>
        <w:docPartGallery w:val="Page Numbers (Bottom of Page)"/>
        <w:docPartUnique/>
      </w:docPartObj>
    </w:sdtPr>
    <w:sdtEndPr>
      <w:rPr>
        <w:sz w:val="20"/>
        <w:szCs w:val="20"/>
      </w:rPr>
    </w:sdtEndPr>
    <w:sdtContent>
      <w:p w14:paraId="6734EACB" w14:textId="331B51BD" w:rsidR="008B1F4A" w:rsidRPr="00274315" w:rsidRDefault="008B1F4A">
        <w:pPr>
          <w:pStyle w:val="Footer"/>
          <w:jc w:val="right"/>
          <w:rPr>
            <w:sz w:val="20"/>
            <w:szCs w:val="20"/>
          </w:rPr>
        </w:pPr>
        <w:r w:rsidRPr="00274315">
          <w:rPr>
            <w:sz w:val="20"/>
            <w:szCs w:val="20"/>
          </w:rPr>
          <w:fldChar w:fldCharType="begin"/>
        </w:r>
        <w:r w:rsidRPr="00274315">
          <w:rPr>
            <w:sz w:val="20"/>
            <w:szCs w:val="20"/>
          </w:rPr>
          <w:instrText>PAGE   \* MERGEFORMAT</w:instrText>
        </w:r>
        <w:r w:rsidRPr="00274315">
          <w:rPr>
            <w:sz w:val="20"/>
            <w:szCs w:val="20"/>
          </w:rPr>
          <w:fldChar w:fldCharType="separate"/>
        </w:r>
        <w:r w:rsidR="000B0835">
          <w:rPr>
            <w:noProof/>
            <w:sz w:val="20"/>
            <w:szCs w:val="20"/>
          </w:rPr>
          <w:t>1</w:t>
        </w:r>
        <w:r w:rsidRPr="00274315">
          <w:rPr>
            <w:sz w:val="20"/>
            <w:szCs w:val="20"/>
          </w:rPr>
          <w:fldChar w:fldCharType="end"/>
        </w:r>
      </w:p>
    </w:sdtContent>
  </w:sdt>
  <w:p w14:paraId="168DF323" w14:textId="77777777" w:rsidR="008B1F4A" w:rsidRDefault="008B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225B" w14:textId="77777777" w:rsidR="00D45D05" w:rsidRDefault="00D45D05" w:rsidP="002870B9">
      <w:r>
        <w:separator/>
      </w:r>
    </w:p>
  </w:footnote>
  <w:footnote w:type="continuationSeparator" w:id="0">
    <w:p w14:paraId="7B025614" w14:textId="77777777" w:rsidR="00D45D05" w:rsidRDefault="00D45D05" w:rsidP="0028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C37F" w14:textId="3CDE5A4C" w:rsidR="006F4298" w:rsidRDefault="006F4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5A09" w14:textId="7661B769" w:rsidR="008B1F4A" w:rsidRPr="005557BA" w:rsidRDefault="008B1F4A" w:rsidP="007E688A">
    <w:pPr>
      <w:pStyle w:val="Header"/>
      <w:jc w:val="center"/>
      <w:rPr>
        <w:rFonts w:ascii="Georgia" w:hAnsi="Georg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66CE" w14:textId="09B6977D" w:rsidR="006F4298" w:rsidRDefault="006F4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3E2F"/>
    <w:multiLevelType w:val="multilevel"/>
    <w:tmpl w:val="0425001F"/>
    <w:lvl w:ilvl="0">
      <w:start w:val="1"/>
      <w:numFmt w:val="decimal"/>
      <w:lvlText w:val="%1."/>
      <w:lvlJc w:val="left"/>
      <w:pPr>
        <w:ind w:left="-1658" w:hanging="360"/>
      </w:pPr>
    </w:lvl>
    <w:lvl w:ilvl="1">
      <w:start w:val="1"/>
      <w:numFmt w:val="decimal"/>
      <w:lvlText w:val="%1.%2."/>
      <w:lvlJc w:val="left"/>
      <w:pPr>
        <w:ind w:left="-1226" w:hanging="432"/>
      </w:pPr>
    </w:lvl>
    <w:lvl w:ilvl="2">
      <w:start w:val="1"/>
      <w:numFmt w:val="decimal"/>
      <w:lvlText w:val="%1.%2.%3."/>
      <w:lvlJc w:val="left"/>
      <w:pPr>
        <w:ind w:left="-794" w:hanging="504"/>
      </w:pPr>
    </w:lvl>
    <w:lvl w:ilvl="3">
      <w:start w:val="1"/>
      <w:numFmt w:val="decimal"/>
      <w:lvlText w:val="%1.%2.%3.%4."/>
      <w:lvlJc w:val="left"/>
      <w:pPr>
        <w:ind w:left="-290" w:hanging="648"/>
      </w:pPr>
    </w:lvl>
    <w:lvl w:ilvl="4">
      <w:start w:val="1"/>
      <w:numFmt w:val="decimal"/>
      <w:lvlText w:val="%1.%2.%3.%4.%5."/>
      <w:lvlJc w:val="left"/>
      <w:pPr>
        <w:ind w:left="214" w:hanging="792"/>
      </w:pPr>
    </w:lvl>
    <w:lvl w:ilvl="5">
      <w:start w:val="1"/>
      <w:numFmt w:val="decimal"/>
      <w:lvlText w:val="%1.%2.%3.%4.%5.%6."/>
      <w:lvlJc w:val="left"/>
      <w:pPr>
        <w:ind w:left="718" w:hanging="936"/>
      </w:pPr>
    </w:lvl>
    <w:lvl w:ilvl="6">
      <w:start w:val="1"/>
      <w:numFmt w:val="decimal"/>
      <w:lvlText w:val="%1.%2.%3.%4.%5.%6.%7."/>
      <w:lvlJc w:val="left"/>
      <w:pPr>
        <w:ind w:left="1222" w:hanging="1080"/>
      </w:pPr>
    </w:lvl>
    <w:lvl w:ilvl="7">
      <w:start w:val="1"/>
      <w:numFmt w:val="decimal"/>
      <w:lvlText w:val="%1.%2.%3.%4.%5.%6.%7.%8."/>
      <w:lvlJc w:val="left"/>
      <w:pPr>
        <w:ind w:left="1726" w:hanging="1224"/>
      </w:pPr>
    </w:lvl>
    <w:lvl w:ilvl="8">
      <w:start w:val="1"/>
      <w:numFmt w:val="decimal"/>
      <w:lvlText w:val="%1.%2.%3.%4.%5.%6.%7.%8.%9."/>
      <w:lvlJc w:val="left"/>
      <w:pPr>
        <w:ind w:left="2302" w:hanging="1440"/>
      </w:pPr>
    </w:lvl>
  </w:abstractNum>
  <w:abstractNum w:abstractNumId="1" w15:restartNumberingAfterBreak="0">
    <w:nsid w:val="17C51CC7"/>
    <w:multiLevelType w:val="hybridMultilevel"/>
    <w:tmpl w:val="AE5A5A52"/>
    <w:lvl w:ilvl="0" w:tplc="04250001">
      <w:start w:val="1"/>
      <w:numFmt w:val="bullet"/>
      <w:lvlText w:val=""/>
      <w:lvlJc w:val="left"/>
      <w:pPr>
        <w:ind w:left="107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8D04EF"/>
    <w:multiLevelType w:val="multilevel"/>
    <w:tmpl w:val="63C4EE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840369"/>
    <w:multiLevelType w:val="hybridMultilevel"/>
    <w:tmpl w:val="087CED16"/>
    <w:lvl w:ilvl="0" w:tplc="0425000F">
      <w:start w:val="1"/>
      <w:numFmt w:val="decimal"/>
      <w:lvlText w:val="%1."/>
      <w:lvlJc w:val="left"/>
      <w:pPr>
        <w:ind w:left="107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0E38AE"/>
    <w:multiLevelType w:val="multilevel"/>
    <w:tmpl w:val="BCEC4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003"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5" w15:restartNumberingAfterBreak="0">
    <w:nsid w:val="5B6E5343"/>
    <w:multiLevelType w:val="hybridMultilevel"/>
    <w:tmpl w:val="E304CDCE"/>
    <w:lvl w:ilvl="0" w:tplc="0425000F">
      <w:start w:val="1"/>
      <w:numFmt w:val="decimal"/>
      <w:lvlText w:val="%1."/>
      <w:lvlJc w:val="left"/>
      <w:pPr>
        <w:ind w:left="2148" w:hanging="360"/>
      </w:pPr>
    </w:lvl>
    <w:lvl w:ilvl="1" w:tplc="04250019">
      <w:start w:val="1"/>
      <w:numFmt w:val="lowerLetter"/>
      <w:lvlText w:val="%2."/>
      <w:lvlJc w:val="left"/>
      <w:pPr>
        <w:ind w:left="501" w:hanging="360"/>
      </w:pPr>
    </w:lvl>
    <w:lvl w:ilvl="2" w:tplc="0425001B" w:tentative="1">
      <w:start w:val="1"/>
      <w:numFmt w:val="lowerRoman"/>
      <w:lvlText w:val="%3."/>
      <w:lvlJc w:val="right"/>
      <w:pPr>
        <w:ind w:left="3588" w:hanging="180"/>
      </w:pPr>
    </w:lvl>
    <w:lvl w:ilvl="3" w:tplc="0425000F" w:tentative="1">
      <w:start w:val="1"/>
      <w:numFmt w:val="decimal"/>
      <w:lvlText w:val="%4."/>
      <w:lvlJc w:val="left"/>
      <w:pPr>
        <w:ind w:left="4308" w:hanging="360"/>
      </w:pPr>
    </w:lvl>
    <w:lvl w:ilvl="4" w:tplc="04250019" w:tentative="1">
      <w:start w:val="1"/>
      <w:numFmt w:val="lowerLetter"/>
      <w:lvlText w:val="%5."/>
      <w:lvlJc w:val="left"/>
      <w:pPr>
        <w:ind w:left="5028" w:hanging="360"/>
      </w:pPr>
    </w:lvl>
    <w:lvl w:ilvl="5" w:tplc="0425001B" w:tentative="1">
      <w:start w:val="1"/>
      <w:numFmt w:val="lowerRoman"/>
      <w:lvlText w:val="%6."/>
      <w:lvlJc w:val="right"/>
      <w:pPr>
        <w:ind w:left="5748" w:hanging="180"/>
      </w:pPr>
    </w:lvl>
    <w:lvl w:ilvl="6" w:tplc="0425000F" w:tentative="1">
      <w:start w:val="1"/>
      <w:numFmt w:val="decimal"/>
      <w:lvlText w:val="%7."/>
      <w:lvlJc w:val="left"/>
      <w:pPr>
        <w:ind w:left="6468" w:hanging="360"/>
      </w:pPr>
    </w:lvl>
    <w:lvl w:ilvl="7" w:tplc="04250019" w:tentative="1">
      <w:start w:val="1"/>
      <w:numFmt w:val="lowerLetter"/>
      <w:lvlText w:val="%8."/>
      <w:lvlJc w:val="left"/>
      <w:pPr>
        <w:ind w:left="7188" w:hanging="360"/>
      </w:pPr>
    </w:lvl>
    <w:lvl w:ilvl="8" w:tplc="0425001B" w:tentative="1">
      <w:start w:val="1"/>
      <w:numFmt w:val="lowerRoman"/>
      <w:lvlText w:val="%9."/>
      <w:lvlJc w:val="right"/>
      <w:pPr>
        <w:ind w:left="7908" w:hanging="180"/>
      </w:pPr>
    </w:lvl>
  </w:abstractNum>
  <w:abstractNum w:abstractNumId="6" w15:restartNumberingAfterBreak="0">
    <w:nsid w:val="66DF4462"/>
    <w:multiLevelType w:val="hybridMultilevel"/>
    <w:tmpl w:val="5EF207E8"/>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7" w15:restartNumberingAfterBreak="0">
    <w:nsid w:val="7A236046"/>
    <w:multiLevelType w:val="hybridMultilevel"/>
    <w:tmpl w:val="C0DA1FBC"/>
    <w:lvl w:ilvl="0" w:tplc="7550F2A8">
      <w:numFmt w:val="bullet"/>
      <w:lvlText w:val="-"/>
      <w:lvlJc w:val="left"/>
      <w:pPr>
        <w:ind w:left="502" w:hanging="360"/>
      </w:pPr>
      <w:rPr>
        <w:rFonts w:ascii="Times New Roman" w:eastAsia="Times New Roman"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2028292443">
    <w:abstractNumId w:val="5"/>
  </w:num>
  <w:num w:numId="2" w16cid:durableId="1141265812">
    <w:abstractNumId w:val="1"/>
  </w:num>
  <w:num w:numId="3" w16cid:durableId="1354573846">
    <w:abstractNumId w:val="0"/>
  </w:num>
  <w:num w:numId="4" w16cid:durableId="1427770080">
    <w:abstractNumId w:val="2"/>
  </w:num>
  <w:num w:numId="5" w16cid:durableId="2038114332">
    <w:abstractNumId w:val="3"/>
  </w:num>
  <w:num w:numId="6" w16cid:durableId="517277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3983623">
    <w:abstractNumId w:val="4"/>
  </w:num>
  <w:num w:numId="8" w16cid:durableId="223179912">
    <w:abstractNumId w:val="6"/>
  </w:num>
  <w:num w:numId="9" w16cid:durableId="5249015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DC"/>
    <w:rsid w:val="00002D7D"/>
    <w:rsid w:val="000037E6"/>
    <w:rsid w:val="00010DC1"/>
    <w:rsid w:val="00011B5F"/>
    <w:rsid w:val="00021376"/>
    <w:rsid w:val="00023DD9"/>
    <w:rsid w:val="0003157D"/>
    <w:rsid w:val="00032191"/>
    <w:rsid w:val="0003260B"/>
    <w:rsid w:val="0003461D"/>
    <w:rsid w:val="00034B9F"/>
    <w:rsid w:val="000440BB"/>
    <w:rsid w:val="00052E6A"/>
    <w:rsid w:val="00055687"/>
    <w:rsid w:val="00055EFB"/>
    <w:rsid w:val="000635D5"/>
    <w:rsid w:val="0006403E"/>
    <w:rsid w:val="00065B45"/>
    <w:rsid w:val="00074A3A"/>
    <w:rsid w:val="00080D79"/>
    <w:rsid w:val="000908DE"/>
    <w:rsid w:val="0009380E"/>
    <w:rsid w:val="000A6570"/>
    <w:rsid w:val="000A68C3"/>
    <w:rsid w:val="000B0174"/>
    <w:rsid w:val="000B0835"/>
    <w:rsid w:val="000B0D1F"/>
    <w:rsid w:val="000B6E29"/>
    <w:rsid w:val="000C2DB3"/>
    <w:rsid w:val="000C34CB"/>
    <w:rsid w:val="000C6FB5"/>
    <w:rsid w:val="000D4617"/>
    <w:rsid w:val="000D465C"/>
    <w:rsid w:val="000E1124"/>
    <w:rsid w:val="000E5564"/>
    <w:rsid w:val="000E604C"/>
    <w:rsid w:val="000F0650"/>
    <w:rsid w:val="000F4D2E"/>
    <w:rsid w:val="0010323F"/>
    <w:rsid w:val="00104788"/>
    <w:rsid w:val="00107298"/>
    <w:rsid w:val="00110681"/>
    <w:rsid w:val="00110D6E"/>
    <w:rsid w:val="00111164"/>
    <w:rsid w:val="001124B3"/>
    <w:rsid w:val="00112621"/>
    <w:rsid w:val="001161B7"/>
    <w:rsid w:val="001178CB"/>
    <w:rsid w:val="00120CFB"/>
    <w:rsid w:val="00121A42"/>
    <w:rsid w:val="00130D00"/>
    <w:rsid w:val="001323F1"/>
    <w:rsid w:val="00134A41"/>
    <w:rsid w:val="00135245"/>
    <w:rsid w:val="001377C0"/>
    <w:rsid w:val="001434D7"/>
    <w:rsid w:val="00144B39"/>
    <w:rsid w:val="001459AA"/>
    <w:rsid w:val="00146194"/>
    <w:rsid w:val="00147993"/>
    <w:rsid w:val="00155146"/>
    <w:rsid w:val="00155158"/>
    <w:rsid w:val="001565B4"/>
    <w:rsid w:val="00156C64"/>
    <w:rsid w:val="001624C9"/>
    <w:rsid w:val="00163232"/>
    <w:rsid w:val="001639ED"/>
    <w:rsid w:val="00170FB5"/>
    <w:rsid w:val="00173071"/>
    <w:rsid w:val="00173E4D"/>
    <w:rsid w:val="00176B3F"/>
    <w:rsid w:val="00180370"/>
    <w:rsid w:val="001841C5"/>
    <w:rsid w:val="001863CE"/>
    <w:rsid w:val="00193662"/>
    <w:rsid w:val="00194881"/>
    <w:rsid w:val="00195BB7"/>
    <w:rsid w:val="00196DC5"/>
    <w:rsid w:val="00197977"/>
    <w:rsid w:val="00197CA6"/>
    <w:rsid w:val="001A17FE"/>
    <w:rsid w:val="001A2D27"/>
    <w:rsid w:val="001A4C52"/>
    <w:rsid w:val="001A5E1B"/>
    <w:rsid w:val="001A6293"/>
    <w:rsid w:val="001A7921"/>
    <w:rsid w:val="001B0AB9"/>
    <w:rsid w:val="001B7F40"/>
    <w:rsid w:val="001C1282"/>
    <w:rsid w:val="001C5967"/>
    <w:rsid w:val="001C7CD6"/>
    <w:rsid w:val="001D55EC"/>
    <w:rsid w:val="001E56E7"/>
    <w:rsid w:val="001F0477"/>
    <w:rsid w:val="001F104F"/>
    <w:rsid w:val="001F5D04"/>
    <w:rsid w:val="00205F64"/>
    <w:rsid w:val="002100B3"/>
    <w:rsid w:val="00213062"/>
    <w:rsid w:val="00214348"/>
    <w:rsid w:val="00215754"/>
    <w:rsid w:val="00215A63"/>
    <w:rsid w:val="002160E7"/>
    <w:rsid w:val="00216E2F"/>
    <w:rsid w:val="00223033"/>
    <w:rsid w:val="00225A58"/>
    <w:rsid w:val="002358CA"/>
    <w:rsid w:val="00235E2B"/>
    <w:rsid w:val="00235EC5"/>
    <w:rsid w:val="00242462"/>
    <w:rsid w:val="00247468"/>
    <w:rsid w:val="00247F63"/>
    <w:rsid w:val="00253506"/>
    <w:rsid w:val="0025770C"/>
    <w:rsid w:val="0026304E"/>
    <w:rsid w:val="00265BBC"/>
    <w:rsid w:val="00266843"/>
    <w:rsid w:val="00274315"/>
    <w:rsid w:val="0027459F"/>
    <w:rsid w:val="00282FEF"/>
    <w:rsid w:val="002843D8"/>
    <w:rsid w:val="002844F4"/>
    <w:rsid w:val="002867BA"/>
    <w:rsid w:val="00286D81"/>
    <w:rsid w:val="002870B9"/>
    <w:rsid w:val="00287C2B"/>
    <w:rsid w:val="00290DAF"/>
    <w:rsid w:val="00291B9A"/>
    <w:rsid w:val="0029424A"/>
    <w:rsid w:val="002960E0"/>
    <w:rsid w:val="002A10E4"/>
    <w:rsid w:val="002A1A1B"/>
    <w:rsid w:val="002A36B0"/>
    <w:rsid w:val="002A36DC"/>
    <w:rsid w:val="002A5E81"/>
    <w:rsid w:val="002A646C"/>
    <w:rsid w:val="002B1464"/>
    <w:rsid w:val="002B3A80"/>
    <w:rsid w:val="002B49C1"/>
    <w:rsid w:val="002B66A4"/>
    <w:rsid w:val="002C2A91"/>
    <w:rsid w:val="002C42C1"/>
    <w:rsid w:val="002C5AB7"/>
    <w:rsid w:val="002C78F0"/>
    <w:rsid w:val="002D2516"/>
    <w:rsid w:val="002D46CE"/>
    <w:rsid w:val="002D5416"/>
    <w:rsid w:val="002D556F"/>
    <w:rsid w:val="002D6703"/>
    <w:rsid w:val="002E10E5"/>
    <w:rsid w:val="002E4AB0"/>
    <w:rsid w:val="002E4B7E"/>
    <w:rsid w:val="002E65F4"/>
    <w:rsid w:val="002F0942"/>
    <w:rsid w:val="002F0EFD"/>
    <w:rsid w:val="002F2B81"/>
    <w:rsid w:val="003015B2"/>
    <w:rsid w:val="00301808"/>
    <w:rsid w:val="00302061"/>
    <w:rsid w:val="00304CD9"/>
    <w:rsid w:val="00305839"/>
    <w:rsid w:val="00313AA1"/>
    <w:rsid w:val="00316CC0"/>
    <w:rsid w:val="00321661"/>
    <w:rsid w:val="00323558"/>
    <w:rsid w:val="003259A4"/>
    <w:rsid w:val="0033522C"/>
    <w:rsid w:val="00344020"/>
    <w:rsid w:val="00344974"/>
    <w:rsid w:val="00344A02"/>
    <w:rsid w:val="00352AF6"/>
    <w:rsid w:val="00353BC1"/>
    <w:rsid w:val="00357539"/>
    <w:rsid w:val="00357EC9"/>
    <w:rsid w:val="00362ADD"/>
    <w:rsid w:val="003632D7"/>
    <w:rsid w:val="00367129"/>
    <w:rsid w:val="0037327C"/>
    <w:rsid w:val="003771CC"/>
    <w:rsid w:val="00382BC5"/>
    <w:rsid w:val="0038507E"/>
    <w:rsid w:val="003855E8"/>
    <w:rsid w:val="00387740"/>
    <w:rsid w:val="00394994"/>
    <w:rsid w:val="003A0697"/>
    <w:rsid w:val="003A157C"/>
    <w:rsid w:val="003A2715"/>
    <w:rsid w:val="003A3D23"/>
    <w:rsid w:val="003A5171"/>
    <w:rsid w:val="003A5E4D"/>
    <w:rsid w:val="003B324B"/>
    <w:rsid w:val="003B4B74"/>
    <w:rsid w:val="003B5329"/>
    <w:rsid w:val="003B592E"/>
    <w:rsid w:val="003C12E2"/>
    <w:rsid w:val="003C538F"/>
    <w:rsid w:val="003D06BC"/>
    <w:rsid w:val="003D2651"/>
    <w:rsid w:val="003D6160"/>
    <w:rsid w:val="003D7A14"/>
    <w:rsid w:val="003E3BC0"/>
    <w:rsid w:val="003F1E33"/>
    <w:rsid w:val="003F24A4"/>
    <w:rsid w:val="003F5620"/>
    <w:rsid w:val="003F6B74"/>
    <w:rsid w:val="00401688"/>
    <w:rsid w:val="004070D4"/>
    <w:rsid w:val="004074AF"/>
    <w:rsid w:val="00422DEB"/>
    <w:rsid w:val="00423AF8"/>
    <w:rsid w:val="004262A2"/>
    <w:rsid w:val="004376E5"/>
    <w:rsid w:val="0044119D"/>
    <w:rsid w:val="004411FD"/>
    <w:rsid w:val="00441373"/>
    <w:rsid w:val="00441D21"/>
    <w:rsid w:val="00452F87"/>
    <w:rsid w:val="004575C8"/>
    <w:rsid w:val="00457B77"/>
    <w:rsid w:val="00463DE2"/>
    <w:rsid w:val="004668F2"/>
    <w:rsid w:val="00466AEE"/>
    <w:rsid w:val="00470607"/>
    <w:rsid w:val="00470ECB"/>
    <w:rsid w:val="00480904"/>
    <w:rsid w:val="00480B32"/>
    <w:rsid w:val="00480B89"/>
    <w:rsid w:val="0048386B"/>
    <w:rsid w:val="0048495F"/>
    <w:rsid w:val="0048625E"/>
    <w:rsid w:val="004866AC"/>
    <w:rsid w:val="00487754"/>
    <w:rsid w:val="00491A32"/>
    <w:rsid w:val="00491C2A"/>
    <w:rsid w:val="00492298"/>
    <w:rsid w:val="00492829"/>
    <w:rsid w:val="00496467"/>
    <w:rsid w:val="004A13D9"/>
    <w:rsid w:val="004A174A"/>
    <w:rsid w:val="004A3BB6"/>
    <w:rsid w:val="004A61D4"/>
    <w:rsid w:val="004A6CCD"/>
    <w:rsid w:val="004B0103"/>
    <w:rsid w:val="004C026C"/>
    <w:rsid w:val="004C02C1"/>
    <w:rsid w:val="004C3B08"/>
    <w:rsid w:val="004D65D4"/>
    <w:rsid w:val="004E3206"/>
    <w:rsid w:val="004E730A"/>
    <w:rsid w:val="004E79AA"/>
    <w:rsid w:val="004F2408"/>
    <w:rsid w:val="00501783"/>
    <w:rsid w:val="0050761B"/>
    <w:rsid w:val="00513CB9"/>
    <w:rsid w:val="00516044"/>
    <w:rsid w:val="005169BE"/>
    <w:rsid w:val="00517EE7"/>
    <w:rsid w:val="00525746"/>
    <w:rsid w:val="0054345D"/>
    <w:rsid w:val="005557BA"/>
    <w:rsid w:val="00555AA5"/>
    <w:rsid w:val="00562DA7"/>
    <w:rsid w:val="005636DF"/>
    <w:rsid w:val="00572A2F"/>
    <w:rsid w:val="0057367F"/>
    <w:rsid w:val="0057456A"/>
    <w:rsid w:val="00574A69"/>
    <w:rsid w:val="00575281"/>
    <w:rsid w:val="00583888"/>
    <w:rsid w:val="00593D08"/>
    <w:rsid w:val="00594FD1"/>
    <w:rsid w:val="005A0E90"/>
    <w:rsid w:val="005A351E"/>
    <w:rsid w:val="005A3AF5"/>
    <w:rsid w:val="005A590D"/>
    <w:rsid w:val="005A77F9"/>
    <w:rsid w:val="005B1570"/>
    <w:rsid w:val="005B23B4"/>
    <w:rsid w:val="005B2D2A"/>
    <w:rsid w:val="005B2E8E"/>
    <w:rsid w:val="005B41DE"/>
    <w:rsid w:val="005B45E6"/>
    <w:rsid w:val="005C0668"/>
    <w:rsid w:val="005D5060"/>
    <w:rsid w:val="005D6A69"/>
    <w:rsid w:val="005D7919"/>
    <w:rsid w:val="005E0427"/>
    <w:rsid w:val="005E2F36"/>
    <w:rsid w:val="005E4339"/>
    <w:rsid w:val="005E62A3"/>
    <w:rsid w:val="005E6F2A"/>
    <w:rsid w:val="005F24C8"/>
    <w:rsid w:val="005F49B2"/>
    <w:rsid w:val="005F6B59"/>
    <w:rsid w:val="006005A4"/>
    <w:rsid w:val="006034C1"/>
    <w:rsid w:val="00604CE6"/>
    <w:rsid w:val="00613E7D"/>
    <w:rsid w:val="00614633"/>
    <w:rsid w:val="00614968"/>
    <w:rsid w:val="00617BBB"/>
    <w:rsid w:val="0062079C"/>
    <w:rsid w:val="00622298"/>
    <w:rsid w:val="00622382"/>
    <w:rsid w:val="00622BA5"/>
    <w:rsid w:val="00622F41"/>
    <w:rsid w:val="0062465B"/>
    <w:rsid w:val="00626D32"/>
    <w:rsid w:val="0063229A"/>
    <w:rsid w:val="0063353E"/>
    <w:rsid w:val="0063503D"/>
    <w:rsid w:val="00635968"/>
    <w:rsid w:val="00640016"/>
    <w:rsid w:val="0064091F"/>
    <w:rsid w:val="0064103A"/>
    <w:rsid w:val="00641CFE"/>
    <w:rsid w:val="00641E68"/>
    <w:rsid w:val="006423C5"/>
    <w:rsid w:val="00645331"/>
    <w:rsid w:val="0064661B"/>
    <w:rsid w:val="0064770B"/>
    <w:rsid w:val="0065085F"/>
    <w:rsid w:val="006540C5"/>
    <w:rsid w:val="006560D2"/>
    <w:rsid w:val="00657613"/>
    <w:rsid w:val="00664EF3"/>
    <w:rsid w:val="00665120"/>
    <w:rsid w:val="006737A2"/>
    <w:rsid w:val="00673D55"/>
    <w:rsid w:val="0067786C"/>
    <w:rsid w:val="00680D45"/>
    <w:rsid w:val="00681881"/>
    <w:rsid w:val="0068354E"/>
    <w:rsid w:val="006843F6"/>
    <w:rsid w:val="00685008"/>
    <w:rsid w:val="006911A0"/>
    <w:rsid w:val="00694873"/>
    <w:rsid w:val="00695B71"/>
    <w:rsid w:val="0069775F"/>
    <w:rsid w:val="006B04FC"/>
    <w:rsid w:val="006B0BBE"/>
    <w:rsid w:val="006B0F03"/>
    <w:rsid w:val="006B1CF9"/>
    <w:rsid w:val="006B2793"/>
    <w:rsid w:val="006B36EF"/>
    <w:rsid w:val="006B7EC5"/>
    <w:rsid w:val="006C0D83"/>
    <w:rsid w:val="006C1407"/>
    <w:rsid w:val="006C306C"/>
    <w:rsid w:val="006C5CEE"/>
    <w:rsid w:val="006C5FE4"/>
    <w:rsid w:val="006D01B9"/>
    <w:rsid w:val="006D18EA"/>
    <w:rsid w:val="006D19E5"/>
    <w:rsid w:val="006D37A1"/>
    <w:rsid w:val="006D73D2"/>
    <w:rsid w:val="006D7501"/>
    <w:rsid w:val="006E5777"/>
    <w:rsid w:val="006F4298"/>
    <w:rsid w:val="006F5DE8"/>
    <w:rsid w:val="0070427D"/>
    <w:rsid w:val="0070462E"/>
    <w:rsid w:val="00706765"/>
    <w:rsid w:val="007075B2"/>
    <w:rsid w:val="00710AB9"/>
    <w:rsid w:val="00713846"/>
    <w:rsid w:val="007150DE"/>
    <w:rsid w:val="00723296"/>
    <w:rsid w:val="0072479F"/>
    <w:rsid w:val="00725B04"/>
    <w:rsid w:val="007333EB"/>
    <w:rsid w:val="00737279"/>
    <w:rsid w:val="00737583"/>
    <w:rsid w:val="007436A4"/>
    <w:rsid w:val="00744BE8"/>
    <w:rsid w:val="00747663"/>
    <w:rsid w:val="00754288"/>
    <w:rsid w:val="00757C2F"/>
    <w:rsid w:val="00765216"/>
    <w:rsid w:val="00773F0F"/>
    <w:rsid w:val="00774410"/>
    <w:rsid w:val="00781A70"/>
    <w:rsid w:val="0078238D"/>
    <w:rsid w:val="007838D0"/>
    <w:rsid w:val="00790FBA"/>
    <w:rsid w:val="007946AE"/>
    <w:rsid w:val="007948CD"/>
    <w:rsid w:val="0079724C"/>
    <w:rsid w:val="007976EA"/>
    <w:rsid w:val="007A1FCF"/>
    <w:rsid w:val="007A2B3E"/>
    <w:rsid w:val="007B1137"/>
    <w:rsid w:val="007B2F93"/>
    <w:rsid w:val="007B3637"/>
    <w:rsid w:val="007C27FD"/>
    <w:rsid w:val="007C2DB6"/>
    <w:rsid w:val="007D5B55"/>
    <w:rsid w:val="007D6837"/>
    <w:rsid w:val="007E0367"/>
    <w:rsid w:val="007E1723"/>
    <w:rsid w:val="007E1D14"/>
    <w:rsid w:val="007E225D"/>
    <w:rsid w:val="007E44B2"/>
    <w:rsid w:val="007E563F"/>
    <w:rsid w:val="007E6329"/>
    <w:rsid w:val="007E688A"/>
    <w:rsid w:val="007F06C3"/>
    <w:rsid w:val="007F162F"/>
    <w:rsid w:val="007F21B2"/>
    <w:rsid w:val="007F34D6"/>
    <w:rsid w:val="007F526C"/>
    <w:rsid w:val="007F5396"/>
    <w:rsid w:val="007F6288"/>
    <w:rsid w:val="00801963"/>
    <w:rsid w:val="00805C46"/>
    <w:rsid w:val="008065BF"/>
    <w:rsid w:val="00810F05"/>
    <w:rsid w:val="00811664"/>
    <w:rsid w:val="00814005"/>
    <w:rsid w:val="00815A8B"/>
    <w:rsid w:val="008167CC"/>
    <w:rsid w:val="00825623"/>
    <w:rsid w:val="00826BE0"/>
    <w:rsid w:val="008318B0"/>
    <w:rsid w:val="00833AEF"/>
    <w:rsid w:val="008404A5"/>
    <w:rsid w:val="008406DB"/>
    <w:rsid w:val="0084540E"/>
    <w:rsid w:val="00847764"/>
    <w:rsid w:val="00853922"/>
    <w:rsid w:val="008552F6"/>
    <w:rsid w:val="00857809"/>
    <w:rsid w:val="00861626"/>
    <w:rsid w:val="0086307C"/>
    <w:rsid w:val="00872DEF"/>
    <w:rsid w:val="00876946"/>
    <w:rsid w:val="00877DDF"/>
    <w:rsid w:val="00887D8B"/>
    <w:rsid w:val="008921FC"/>
    <w:rsid w:val="008A2E3E"/>
    <w:rsid w:val="008A45DE"/>
    <w:rsid w:val="008A5C06"/>
    <w:rsid w:val="008A6DE8"/>
    <w:rsid w:val="008B0089"/>
    <w:rsid w:val="008B1F4A"/>
    <w:rsid w:val="008B23A5"/>
    <w:rsid w:val="008B4F7C"/>
    <w:rsid w:val="008C2CDF"/>
    <w:rsid w:val="008D222A"/>
    <w:rsid w:val="008D2BA5"/>
    <w:rsid w:val="008D51D4"/>
    <w:rsid w:val="008E186F"/>
    <w:rsid w:val="008E4B1A"/>
    <w:rsid w:val="008E6278"/>
    <w:rsid w:val="008F03BD"/>
    <w:rsid w:val="008F6AE2"/>
    <w:rsid w:val="008F729D"/>
    <w:rsid w:val="009014E7"/>
    <w:rsid w:val="009014E9"/>
    <w:rsid w:val="00902967"/>
    <w:rsid w:val="00906135"/>
    <w:rsid w:val="00907842"/>
    <w:rsid w:val="0091528A"/>
    <w:rsid w:val="00920C94"/>
    <w:rsid w:val="009334FA"/>
    <w:rsid w:val="00934F21"/>
    <w:rsid w:val="009403A6"/>
    <w:rsid w:val="00940B8C"/>
    <w:rsid w:val="009410F4"/>
    <w:rsid w:val="009419E3"/>
    <w:rsid w:val="00941D9F"/>
    <w:rsid w:val="00942482"/>
    <w:rsid w:val="0094255F"/>
    <w:rsid w:val="00944639"/>
    <w:rsid w:val="00946497"/>
    <w:rsid w:val="009475EE"/>
    <w:rsid w:val="0095620C"/>
    <w:rsid w:val="00957971"/>
    <w:rsid w:val="00957A62"/>
    <w:rsid w:val="009844A6"/>
    <w:rsid w:val="00984649"/>
    <w:rsid w:val="00985ADC"/>
    <w:rsid w:val="009917F3"/>
    <w:rsid w:val="00993CA3"/>
    <w:rsid w:val="00994657"/>
    <w:rsid w:val="00995A22"/>
    <w:rsid w:val="009967A7"/>
    <w:rsid w:val="009A013B"/>
    <w:rsid w:val="009A2262"/>
    <w:rsid w:val="009A312D"/>
    <w:rsid w:val="009A44C1"/>
    <w:rsid w:val="009A70D4"/>
    <w:rsid w:val="009B3DC3"/>
    <w:rsid w:val="009B4319"/>
    <w:rsid w:val="009B4335"/>
    <w:rsid w:val="009B62FC"/>
    <w:rsid w:val="009B6E03"/>
    <w:rsid w:val="009B7DBB"/>
    <w:rsid w:val="009C0408"/>
    <w:rsid w:val="009C1E13"/>
    <w:rsid w:val="009C45D9"/>
    <w:rsid w:val="009C49A3"/>
    <w:rsid w:val="009C7059"/>
    <w:rsid w:val="009D0BA9"/>
    <w:rsid w:val="009D26CF"/>
    <w:rsid w:val="009E0786"/>
    <w:rsid w:val="009E1129"/>
    <w:rsid w:val="009E13D7"/>
    <w:rsid w:val="009E1F4C"/>
    <w:rsid w:val="009E4A6A"/>
    <w:rsid w:val="009E5A7A"/>
    <w:rsid w:val="009F0FDF"/>
    <w:rsid w:val="009F1A9F"/>
    <w:rsid w:val="00A02306"/>
    <w:rsid w:val="00A03BDB"/>
    <w:rsid w:val="00A10054"/>
    <w:rsid w:val="00A106A3"/>
    <w:rsid w:val="00A11036"/>
    <w:rsid w:val="00A16621"/>
    <w:rsid w:val="00A17CE9"/>
    <w:rsid w:val="00A25602"/>
    <w:rsid w:val="00A26B26"/>
    <w:rsid w:val="00A32454"/>
    <w:rsid w:val="00A329CE"/>
    <w:rsid w:val="00A330D3"/>
    <w:rsid w:val="00A34416"/>
    <w:rsid w:val="00A368DB"/>
    <w:rsid w:val="00A3695F"/>
    <w:rsid w:val="00A37110"/>
    <w:rsid w:val="00A40BC9"/>
    <w:rsid w:val="00A450D1"/>
    <w:rsid w:val="00A461B8"/>
    <w:rsid w:val="00A46799"/>
    <w:rsid w:val="00A47031"/>
    <w:rsid w:val="00A512EA"/>
    <w:rsid w:val="00A5238A"/>
    <w:rsid w:val="00A552B2"/>
    <w:rsid w:val="00A621CF"/>
    <w:rsid w:val="00A70032"/>
    <w:rsid w:val="00A7181B"/>
    <w:rsid w:val="00A76F36"/>
    <w:rsid w:val="00A77D9F"/>
    <w:rsid w:val="00A80437"/>
    <w:rsid w:val="00A82826"/>
    <w:rsid w:val="00A82BAF"/>
    <w:rsid w:val="00A83C42"/>
    <w:rsid w:val="00A865CA"/>
    <w:rsid w:val="00A877B3"/>
    <w:rsid w:val="00AA1B4A"/>
    <w:rsid w:val="00AA4FB0"/>
    <w:rsid w:val="00AB073F"/>
    <w:rsid w:val="00AB16E1"/>
    <w:rsid w:val="00AB2096"/>
    <w:rsid w:val="00AB521A"/>
    <w:rsid w:val="00AB6B1D"/>
    <w:rsid w:val="00AB6EF0"/>
    <w:rsid w:val="00AC0E08"/>
    <w:rsid w:val="00AC2298"/>
    <w:rsid w:val="00AC56CA"/>
    <w:rsid w:val="00AC6BF1"/>
    <w:rsid w:val="00AD0E8A"/>
    <w:rsid w:val="00AE1683"/>
    <w:rsid w:val="00AE4FC6"/>
    <w:rsid w:val="00AF1DB9"/>
    <w:rsid w:val="00AF3A60"/>
    <w:rsid w:val="00B0032B"/>
    <w:rsid w:val="00B00BA5"/>
    <w:rsid w:val="00B01BEE"/>
    <w:rsid w:val="00B05089"/>
    <w:rsid w:val="00B0685C"/>
    <w:rsid w:val="00B077CE"/>
    <w:rsid w:val="00B11273"/>
    <w:rsid w:val="00B12D0B"/>
    <w:rsid w:val="00B136DC"/>
    <w:rsid w:val="00B15519"/>
    <w:rsid w:val="00B15B2F"/>
    <w:rsid w:val="00B21862"/>
    <w:rsid w:val="00B22383"/>
    <w:rsid w:val="00B27435"/>
    <w:rsid w:val="00B27E18"/>
    <w:rsid w:val="00B33FC3"/>
    <w:rsid w:val="00B34C2E"/>
    <w:rsid w:val="00B34C9E"/>
    <w:rsid w:val="00B404EA"/>
    <w:rsid w:val="00B41424"/>
    <w:rsid w:val="00B41E3D"/>
    <w:rsid w:val="00B42D5E"/>
    <w:rsid w:val="00B43470"/>
    <w:rsid w:val="00B43B96"/>
    <w:rsid w:val="00B452A9"/>
    <w:rsid w:val="00B459A2"/>
    <w:rsid w:val="00B512F6"/>
    <w:rsid w:val="00B517C8"/>
    <w:rsid w:val="00B54BDD"/>
    <w:rsid w:val="00B55486"/>
    <w:rsid w:val="00B55A82"/>
    <w:rsid w:val="00B56866"/>
    <w:rsid w:val="00B60357"/>
    <w:rsid w:val="00B6218A"/>
    <w:rsid w:val="00B64403"/>
    <w:rsid w:val="00B67BA2"/>
    <w:rsid w:val="00B711A3"/>
    <w:rsid w:val="00B7378E"/>
    <w:rsid w:val="00B73F18"/>
    <w:rsid w:val="00B74B46"/>
    <w:rsid w:val="00B757B4"/>
    <w:rsid w:val="00B807A0"/>
    <w:rsid w:val="00B91118"/>
    <w:rsid w:val="00B91BDB"/>
    <w:rsid w:val="00B94791"/>
    <w:rsid w:val="00B95B01"/>
    <w:rsid w:val="00BA0231"/>
    <w:rsid w:val="00BB15A0"/>
    <w:rsid w:val="00BC51D6"/>
    <w:rsid w:val="00BD10E9"/>
    <w:rsid w:val="00BD1B9B"/>
    <w:rsid w:val="00BD7B80"/>
    <w:rsid w:val="00BE331E"/>
    <w:rsid w:val="00BE4148"/>
    <w:rsid w:val="00BE42D4"/>
    <w:rsid w:val="00BE4DF2"/>
    <w:rsid w:val="00BE54D7"/>
    <w:rsid w:val="00BE7E27"/>
    <w:rsid w:val="00BF043B"/>
    <w:rsid w:val="00BF44DE"/>
    <w:rsid w:val="00BF4511"/>
    <w:rsid w:val="00BF5BC7"/>
    <w:rsid w:val="00C06C2D"/>
    <w:rsid w:val="00C12665"/>
    <w:rsid w:val="00C12B8F"/>
    <w:rsid w:val="00C143F5"/>
    <w:rsid w:val="00C15B4A"/>
    <w:rsid w:val="00C21B7B"/>
    <w:rsid w:val="00C23EE4"/>
    <w:rsid w:val="00C26A80"/>
    <w:rsid w:val="00C27AAF"/>
    <w:rsid w:val="00C3092B"/>
    <w:rsid w:val="00C33F02"/>
    <w:rsid w:val="00C34009"/>
    <w:rsid w:val="00C340E3"/>
    <w:rsid w:val="00C45592"/>
    <w:rsid w:val="00C47488"/>
    <w:rsid w:val="00C477E5"/>
    <w:rsid w:val="00C7147B"/>
    <w:rsid w:val="00C7496F"/>
    <w:rsid w:val="00C75DED"/>
    <w:rsid w:val="00C77003"/>
    <w:rsid w:val="00C846E4"/>
    <w:rsid w:val="00C913B2"/>
    <w:rsid w:val="00C926F8"/>
    <w:rsid w:val="00C94EAA"/>
    <w:rsid w:val="00C96D6A"/>
    <w:rsid w:val="00CA2968"/>
    <w:rsid w:val="00CA407D"/>
    <w:rsid w:val="00CA7098"/>
    <w:rsid w:val="00CA79DF"/>
    <w:rsid w:val="00CB4592"/>
    <w:rsid w:val="00CC229B"/>
    <w:rsid w:val="00CC38D1"/>
    <w:rsid w:val="00CC3EB9"/>
    <w:rsid w:val="00CC5F0D"/>
    <w:rsid w:val="00CD5512"/>
    <w:rsid w:val="00CE05F4"/>
    <w:rsid w:val="00CE20BB"/>
    <w:rsid w:val="00CE467B"/>
    <w:rsid w:val="00CE47C1"/>
    <w:rsid w:val="00CE510A"/>
    <w:rsid w:val="00CE5C2C"/>
    <w:rsid w:val="00CE63AD"/>
    <w:rsid w:val="00CE6767"/>
    <w:rsid w:val="00CE7B1A"/>
    <w:rsid w:val="00D03758"/>
    <w:rsid w:val="00D03A4B"/>
    <w:rsid w:val="00D11E95"/>
    <w:rsid w:val="00D15168"/>
    <w:rsid w:val="00D157C4"/>
    <w:rsid w:val="00D21416"/>
    <w:rsid w:val="00D23ED1"/>
    <w:rsid w:val="00D245A4"/>
    <w:rsid w:val="00D30BF7"/>
    <w:rsid w:val="00D32230"/>
    <w:rsid w:val="00D42C88"/>
    <w:rsid w:val="00D4361B"/>
    <w:rsid w:val="00D45D05"/>
    <w:rsid w:val="00D46DAD"/>
    <w:rsid w:val="00D46E83"/>
    <w:rsid w:val="00D567F9"/>
    <w:rsid w:val="00D576D2"/>
    <w:rsid w:val="00D637D7"/>
    <w:rsid w:val="00D63C57"/>
    <w:rsid w:val="00D6598E"/>
    <w:rsid w:val="00D73104"/>
    <w:rsid w:val="00D738DF"/>
    <w:rsid w:val="00D73EBF"/>
    <w:rsid w:val="00D80D8B"/>
    <w:rsid w:val="00D82405"/>
    <w:rsid w:val="00D82A2D"/>
    <w:rsid w:val="00D9683D"/>
    <w:rsid w:val="00D96DC1"/>
    <w:rsid w:val="00D97F47"/>
    <w:rsid w:val="00DA09C3"/>
    <w:rsid w:val="00DA2954"/>
    <w:rsid w:val="00DA4E06"/>
    <w:rsid w:val="00DA5EA1"/>
    <w:rsid w:val="00DB0627"/>
    <w:rsid w:val="00DB0716"/>
    <w:rsid w:val="00DB3F9C"/>
    <w:rsid w:val="00DC00B0"/>
    <w:rsid w:val="00DC2707"/>
    <w:rsid w:val="00DC2A42"/>
    <w:rsid w:val="00DC650E"/>
    <w:rsid w:val="00DC6DE9"/>
    <w:rsid w:val="00DC7D2B"/>
    <w:rsid w:val="00DD2C52"/>
    <w:rsid w:val="00DD63B1"/>
    <w:rsid w:val="00DE0814"/>
    <w:rsid w:val="00DE1330"/>
    <w:rsid w:val="00DE1F02"/>
    <w:rsid w:val="00DE781F"/>
    <w:rsid w:val="00DF176A"/>
    <w:rsid w:val="00DF2A75"/>
    <w:rsid w:val="00DF57D7"/>
    <w:rsid w:val="00DF6518"/>
    <w:rsid w:val="00DF6E03"/>
    <w:rsid w:val="00DF6F60"/>
    <w:rsid w:val="00E00009"/>
    <w:rsid w:val="00E00ADA"/>
    <w:rsid w:val="00E11491"/>
    <w:rsid w:val="00E11F91"/>
    <w:rsid w:val="00E14129"/>
    <w:rsid w:val="00E226FD"/>
    <w:rsid w:val="00E2290F"/>
    <w:rsid w:val="00E265BC"/>
    <w:rsid w:val="00E2692E"/>
    <w:rsid w:val="00E305DE"/>
    <w:rsid w:val="00E32216"/>
    <w:rsid w:val="00E36F3B"/>
    <w:rsid w:val="00E37629"/>
    <w:rsid w:val="00E3785A"/>
    <w:rsid w:val="00E37AF3"/>
    <w:rsid w:val="00E45A09"/>
    <w:rsid w:val="00E4692C"/>
    <w:rsid w:val="00E46C41"/>
    <w:rsid w:val="00E500A9"/>
    <w:rsid w:val="00E50D62"/>
    <w:rsid w:val="00E55B41"/>
    <w:rsid w:val="00E57946"/>
    <w:rsid w:val="00E6467D"/>
    <w:rsid w:val="00E71187"/>
    <w:rsid w:val="00E712BC"/>
    <w:rsid w:val="00E719D7"/>
    <w:rsid w:val="00E772A4"/>
    <w:rsid w:val="00E81D1F"/>
    <w:rsid w:val="00E824B1"/>
    <w:rsid w:val="00E84CF1"/>
    <w:rsid w:val="00E90E93"/>
    <w:rsid w:val="00E90EBC"/>
    <w:rsid w:val="00E96C38"/>
    <w:rsid w:val="00E9762F"/>
    <w:rsid w:val="00E97E04"/>
    <w:rsid w:val="00EA2541"/>
    <w:rsid w:val="00EA4CAC"/>
    <w:rsid w:val="00EA5AC6"/>
    <w:rsid w:val="00EB3459"/>
    <w:rsid w:val="00EB6A15"/>
    <w:rsid w:val="00EB70F1"/>
    <w:rsid w:val="00EB760D"/>
    <w:rsid w:val="00EC0C33"/>
    <w:rsid w:val="00EC294D"/>
    <w:rsid w:val="00EC38FD"/>
    <w:rsid w:val="00EC3A3F"/>
    <w:rsid w:val="00EC5E8F"/>
    <w:rsid w:val="00EC607D"/>
    <w:rsid w:val="00EC6D42"/>
    <w:rsid w:val="00EC7A4F"/>
    <w:rsid w:val="00ED0930"/>
    <w:rsid w:val="00ED21F7"/>
    <w:rsid w:val="00EE133B"/>
    <w:rsid w:val="00EE20E7"/>
    <w:rsid w:val="00EE5E69"/>
    <w:rsid w:val="00EE6FF6"/>
    <w:rsid w:val="00EF0352"/>
    <w:rsid w:val="00EF2DCD"/>
    <w:rsid w:val="00EF2E71"/>
    <w:rsid w:val="00EF5552"/>
    <w:rsid w:val="00EF76E5"/>
    <w:rsid w:val="00EF7FCD"/>
    <w:rsid w:val="00F0234D"/>
    <w:rsid w:val="00F034D8"/>
    <w:rsid w:val="00F05089"/>
    <w:rsid w:val="00F11F83"/>
    <w:rsid w:val="00F12DBA"/>
    <w:rsid w:val="00F15C84"/>
    <w:rsid w:val="00F17CD2"/>
    <w:rsid w:val="00F21F0F"/>
    <w:rsid w:val="00F24ACE"/>
    <w:rsid w:val="00F25EF6"/>
    <w:rsid w:val="00F317AC"/>
    <w:rsid w:val="00F31DB1"/>
    <w:rsid w:val="00F36A79"/>
    <w:rsid w:val="00F40D8D"/>
    <w:rsid w:val="00F47317"/>
    <w:rsid w:val="00F47E8B"/>
    <w:rsid w:val="00F511B8"/>
    <w:rsid w:val="00F57ED6"/>
    <w:rsid w:val="00F607C4"/>
    <w:rsid w:val="00F70BC8"/>
    <w:rsid w:val="00F7213F"/>
    <w:rsid w:val="00F8278D"/>
    <w:rsid w:val="00F860D2"/>
    <w:rsid w:val="00F91143"/>
    <w:rsid w:val="00F955D8"/>
    <w:rsid w:val="00FA1408"/>
    <w:rsid w:val="00FA2D58"/>
    <w:rsid w:val="00FA3A53"/>
    <w:rsid w:val="00FA6551"/>
    <w:rsid w:val="00FB1C72"/>
    <w:rsid w:val="00FB1E84"/>
    <w:rsid w:val="00FB2ABA"/>
    <w:rsid w:val="00FB54D5"/>
    <w:rsid w:val="00FB56EA"/>
    <w:rsid w:val="00FC0CAD"/>
    <w:rsid w:val="00FC0F46"/>
    <w:rsid w:val="00FC180B"/>
    <w:rsid w:val="00FC2345"/>
    <w:rsid w:val="00FC2B00"/>
    <w:rsid w:val="00FD1600"/>
    <w:rsid w:val="00FD18F1"/>
    <w:rsid w:val="00FD642F"/>
    <w:rsid w:val="00FD7182"/>
    <w:rsid w:val="00FF2F77"/>
    <w:rsid w:val="00FF69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9373D"/>
  <w15:docId w15:val="{1B9E5105-C495-40EF-AE13-FD0CA71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81"/>
    <w:pPr>
      <w:spacing w:after="0" w:line="240" w:lineRule="auto"/>
    </w:pPr>
    <w:rPr>
      <w:rFonts w:ascii="Times New Roman" w:eastAsia="Times New Roman" w:hAnsi="Times New Roman" w:cs="Times New Roman"/>
      <w:sz w:val="24"/>
      <w:szCs w:val="24"/>
      <w:lang w:eastAsia="et-EE"/>
    </w:rPr>
  </w:style>
  <w:style w:type="paragraph" w:styleId="Heading1">
    <w:name w:val="heading 1"/>
    <w:aliases w:val="1_pealkiri"/>
    <w:basedOn w:val="Normal"/>
    <w:link w:val="Heading1Char"/>
    <w:uiPriority w:val="9"/>
    <w:qFormat/>
    <w:rsid w:val="007E688A"/>
    <w:pPr>
      <w:keepNext/>
      <w:tabs>
        <w:tab w:val="num" w:pos="526"/>
        <w:tab w:val="left" w:pos="567"/>
      </w:tabs>
      <w:spacing w:before="240" w:after="120"/>
      <w:jc w:val="both"/>
      <w:outlineLvl w:val="0"/>
    </w:pPr>
    <w:rPr>
      <w:b/>
      <w:lang w:val="x-none" w:eastAsia="x-none"/>
    </w:rPr>
  </w:style>
  <w:style w:type="paragraph" w:styleId="Heading2">
    <w:name w:val="heading 2"/>
    <w:basedOn w:val="Normal"/>
    <w:next w:val="Normal"/>
    <w:link w:val="Heading2Char"/>
    <w:uiPriority w:val="9"/>
    <w:unhideWhenUsed/>
    <w:qFormat/>
    <w:rsid w:val="00344A02"/>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5E81"/>
    <w:pPr>
      <w:jc w:val="both"/>
    </w:pPr>
    <w:rPr>
      <w:szCs w:val="20"/>
      <w:lang w:eastAsia="en-US"/>
    </w:rPr>
  </w:style>
  <w:style w:type="character" w:customStyle="1" w:styleId="BodyTextChar">
    <w:name w:val="Body Text Char"/>
    <w:basedOn w:val="DefaultParagraphFont"/>
    <w:link w:val="BodyText"/>
    <w:rsid w:val="002A5E81"/>
    <w:rPr>
      <w:rFonts w:ascii="Times New Roman" w:eastAsia="Times New Roman" w:hAnsi="Times New Roman" w:cs="Times New Roman"/>
      <w:sz w:val="24"/>
      <w:szCs w:val="20"/>
    </w:rPr>
  </w:style>
  <w:style w:type="paragraph" w:customStyle="1" w:styleId="FieldText">
    <w:name w:val="Field Text"/>
    <w:basedOn w:val="BodyText"/>
    <w:next w:val="Normal"/>
    <w:link w:val="FieldTextChar"/>
    <w:rsid w:val="002A5E81"/>
    <w:pPr>
      <w:jc w:val="left"/>
    </w:pPr>
    <w:rPr>
      <w:rFonts w:ascii="Arial" w:hAnsi="Arial"/>
      <w:b/>
      <w:sz w:val="19"/>
      <w:szCs w:val="19"/>
      <w:lang w:val="en-US"/>
    </w:rPr>
  </w:style>
  <w:style w:type="character" w:customStyle="1" w:styleId="FieldTextChar">
    <w:name w:val="Field Text Char"/>
    <w:link w:val="FieldText"/>
    <w:rsid w:val="002A5E81"/>
    <w:rPr>
      <w:rFonts w:ascii="Arial" w:eastAsia="Times New Roman" w:hAnsi="Arial" w:cs="Times New Roman"/>
      <w:b/>
      <w:sz w:val="19"/>
      <w:szCs w:val="19"/>
      <w:lang w:val="en-US"/>
    </w:rPr>
  </w:style>
  <w:style w:type="paragraph" w:styleId="BalloonText">
    <w:name w:val="Balloon Text"/>
    <w:basedOn w:val="Normal"/>
    <w:link w:val="BalloonTextChar"/>
    <w:uiPriority w:val="99"/>
    <w:semiHidden/>
    <w:unhideWhenUsed/>
    <w:rsid w:val="009B4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335"/>
    <w:rPr>
      <w:rFonts w:ascii="Segoe UI" w:eastAsia="Times New Roman" w:hAnsi="Segoe UI" w:cs="Segoe UI"/>
      <w:sz w:val="18"/>
      <w:szCs w:val="18"/>
      <w:lang w:eastAsia="et-EE"/>
    </w:rPr>
  </w:style>
  <w:style w:type="paragraph" w:styleId="FootnoteText">
    <w:name w:val="footnote text"/>
    <w:basedOn w:val="Normal"/>
    <w:link w:val="FootnoteTextChar"/>
    <w:uiPriority w:val="99"/>
    <w:unhideWhenUsed/>
    <w:rsid w:val="002870B9"/>
    <w:rPr>
      <w:sz w:val="20"/>
      <w:szCs w:val="20"/>
    </w:rPr>
  </w:style>
  <w:style w:type="character" w:customStyle="1" w:styleId="FootnoteTextChar">
    <w:name w:val="Footnote Text Char"/>
    <w:basedOn w:val="DefaultParagraphFont"/>
    <w:link w:val="FootnoteText"/>
    <w:uiPriority w:val="99"/>
    <w:rsid w:val="002870B9"/>
    <w:rPr>
      <w:rFonts w:ascii="Times New Roman" w:eastAsia="Times New Roman" w:hAnsi="Times New Roman" w:cs="Times New Roman"/>
      <w:sz w:val="20"/>
      <w:szCs w:val="20"/>
      <w:lang w:eastAsia="et-EE"/>
    </w:rPr>
  </w:style>
  <w:style w:type="character" w:styleId="FootnoteReference">
    <w:name w:val="footnote reference"/>
    <w:aliases w:val="Footnote symbol"/>
    <w:basedOn w:val="DefaultParagraphFont"/>
    <w:uiPriority w:val="99"/>
    <w:unhideWhenUsed/>
    <w:rsid w:val="002870B9"/>
    <w:rPr>
      <w:vertAlign w:val="superscript"/>
    </w:rPr>
  </w:style>
  <w:style w:type="character" w:styleId="CommentReference">
    <w:name w:val="annotation reference"/>
    <w:basedOn w:val="DefaultParagraphFont"/>
    <w:uiPriority w:val="99"/>
    <w:semiHidden/>
    <w:unhideWhenUsed/>
    <w:rsid w:val="00D73EBF"/>
    <w:rPr>
      <w:sz w:val="16"/>
      <w:szCs w:val="16"/>
    </w:rPr>
  </w:style>
  <w:style w:type="paragraph" w:styleId="CommentText">
    <w:name w:val="annotation text"/>
    <w:basedOn w:val="Normal"/>
    <w:link w:val="CommentTextChar"/>
    <w:uiPriority w:val="99"/>
    <w:unhideWhenUsed/>
    <w:rsid w:val="00D73EBF"/>
    <w:rPr>
      <w:sz w:val="20"/>
      <w:szCs w:val="20"/>
    </w:rPr>
  </w:style>
  <w:style w:type="character" w:customStyle="1" w:styleId="CommentTextChar">
    <w:name w:val="Comment Text Char"/>
    <w:basedOn w:val="DefaultParagraphFont"/>
    <w:link w:val="CommentText"/>
    <w:uiPriority w:val="99"/>
    <w:rsid w:val="00D73EBF"/>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D73EBF"/>
    <w:rPr>
      <w:b/>
      <w:bCs/>
    </w:rPr>
  </w:style>
  <w:style w:type="character" w:customStyle="1" w:styleId="CommentSubjectChar">
    <w:name w:val="Comment Subject Char"/>
    <w:basedOn w:val="CommentTextChar"/>
    <w:link w:val="CommentSubject"/>
    <w:uiPriority w:val="99"/>
    <w:semiHidden/>
    <w:rsid w:val="00D73EBF"/>
    <w:rPr>
      <w:rFonts w:ascii="Times New Roman" w:eastAsia="Times New Roman" w:hAnsi="Times New Roman" w:cs="Times New Roman"/>
      <w:b/>
      <w:bCs/>
      <w:sz w:val="20"/>
      <w:szCs w:val="20"/>
      <w:lang w:eastAsia="et-EE"/>
    </w:rPr>
  </w:style>
  <w:style w:type="character" w:styleId="PlaceholderText">
    <w:name w:val="Placeholder Text"/>
    <w:basedOn w:val="DefaultParagraphFont"/>
    <w:uiPriority w:val="99"/>
    <w:semiHidden/>
    <w:rsid w:val="00C846E4"/>
    <w:rPr>
      <w:color w:val="808080"/>
    </w:rPr>
  </w:style>
  <w:style w:type="paragraph" w:styleId="Header">
    <w:name w:val="header"/>
    <w:basedOn w:val="Normal"/>
    <w:link w:val="HeaderChar"/>
    <w:uiPriority w:val="99"/>
    <w:unhideWhenUsed/>
    <w:rsid w:val="00274315"/>
    <w:pPr>
      <w:tabs>
        <w:tab w:val="center" w:pos="4536"/>
        <w:tab w:val="right" w:pos="9072"/>
      </w:tabs>
    </w:pPr>
  </w:style>
  <w:style w:type="character" w:customStyle="1" w:styleId="HeaderChar">
    <w:name w:val="Header Char"/>
    <w:basedOn w:val="DefaultParagraphFont"/>
    <w:link w:val="Header"/>
    <w:uiPriority w:val="99"/>
    <w:rsid w:val="00274315"/>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274315"/>
    <w:pPr>
      <w:tabs>
        <w:tab w:val="center" w:pos="4536"/>
        <w:tab w:val="right" w:pos="9072"/>
      </w:tabs>
    </w:pPr>
  </w:style>
  <w:style w:type="character" w:customStyle="1" w:styleId="FooterChar">
    <w:name w:val="Footer Char"/>
    <w:basedOn w:val="DefaultParagraphFont"/>
    <w:link w:val="Footer"/>
    <w:uiPriority w:val="99"/>
    <w:rsid w:val="00274315"/>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B00BA5"/>
    <w:rPr>
      <w:color w:val="0563C1"/>
      <w:u w:val="single"/>
    </w:rPr>
  </w:style>
  <w:style w:type="paragraph" w:customStyle="1" w:styleId="Default">
    <w:name w:val="Default"/>
    <w:rsid w:val="00A16621"/>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aliases w:val="Mummuga loetelu,List (bullet),List Paragraph1,Loendi l›ik"/>
    <w:basedOn w:val="Normal"/>
    <w:link w:val="ListParagraphChar"/>
    <w:uiPriority w:val="34"/>
    <w:qFormat/>
    <w:rsid w:val="00480B32"/>
    <w:pPr>
      <w:ind w:left="720"/>
      <w:contextualSpacing/>
    </w:pPr>
  </w:style>
  <w:style w:type="character" w:customStyle="1" w:styleId="ListParagraphChar">
    <w:name w:val="List Paragraph Char"/>
    <w:aliases w:val="Mummuga loetelu Char,List (bullet) Char,List Paragraph1 Char,Loendi l›ik Char"/>
    <w:basedOn w:val="DefaultParagraphFont"/>
    <w:link w:val="ListParagraph"/>
    <w:uiPriority w:val="34"/>
    <w:locked/>
    <w:rsid w:val="00525746"/>
    <w:rPr>
      <w:rFonts w:ascii="Times New Roman" w:eastAsia="Times New Roman" w:hAnsi="Times New Roman" w:cs="Times New Roman"/>
      <w:sz w:val="24"/>
      <w:szCs w:val="24"/>
      <w:lang w:eastAsia="et-EE"/>
    </w:rPr>
  </w:style>
  <w:style w:type="character" w:customStyle="1" w:styleId="Heading1Char">
    <w:name w:val="Heading 1 Char"/>
    <w:aliases w:val="1_pealkiri Char"/>
    <w:basedOn w:val="DefaultParagraphFont"/>
    <w:link w:val="Heading1"/>
    <w:uiPriority w:val="9"/>
    <w:rsid w:val="007E688A"/>
    <w:rPr>
      <w:rFonts w:ascii="Times New Roman" w:eastAsia="Times New Roman" w:hAnsi="Times New Roman" w:cs="Times New Roman"/>
      <w:b/>
      <w:sz w:val="24"/>
      <w:szCs w:val="24"/>
      <w:lang w:val="x-none" w:eastAsia="x-none"/>
    </w:rPr>
  </w:style>
  <w:style w:type="paragraph" w:customStyle="1" w:styleId="WW-Normaaltaane">
    <w:name w:val="WW-Normaaltaane"/>
    <w:basedOn w:val="Normal"/>
    <w:rsid w:val="007E688A"/>
    <w:pPr>
      <w:suppressAutoHyphens/>
      <w:spacing w:before="60"/>
      <w:ind w:left="1985"/>
    </w:pPr>
    <w:rPr>
      <w:szCs w:val="20"/>
      <w:lang w:eastAsia="ar-SA"/>
    </w:rPr>
  </w:style>
  <w:style w:type="character" w:styleId="Strong">
    <w:name w:val="Strong"/>
    <w:uiPriority w:val="22"/>
    <w:qFormat/>
    <w:rsid w:val="007E688A"/>
    <w:rPr>
      <w:rFonts w:cs="Times New Roman"/>
      <w:b/>
    </w:rPr>
  </w:style>
  <w:style w:type="character" w:customStyle="1" w:styleId="Normal10ptChar">
    <w:name w:val="Normal + 10 pt Char"/>
    <w:aliases w:val="Justified Char,Before:  6 pt Char"/>
    <w:basedOn w:val="DefaultParagraphFont"/>
    <w:link w:val="Normal10pt"/>
    <w:locked/>
    <w:rsid w:val="007E688A"/>
    <w:rPr>
      <w:rFonts w:ascii="Times New Roman" w:hAnsi="Times New Roman" w:cs="Times New Roman"/>
      <w:color w:val="000000"/>
      <w:sz w:val="24"/>
      <w:szCs w:val="24"/>
    </w:rPr>
  </w:style>
  <w:style w:type="paragraph" w:customStyle="1" w:styleId="Normal10pt">
    <w:name w:val="Normal + 10 pt"/>
    <w:aliases w:val="Justified,Before:  6 pt"/>
    <w:basedOn w:val="Heading1"/>
    <w:link w:val="Normal10ptChar"/>
    <w:rsid w:val="007E688A"/>
    <w:pPr>
      <w:tabs>
        <w:tab w:val="clear" w:pos="526"/>
        <w:tab w:val="clear" w:pos="567"/>
        <w:tab w:val="left" w:pos="0"/>
        <w:tab w:val="num" w:pos="1002"/>
      </w:tabs>
      <w:suppressAutoHyphens/>
      <w:autoSpaceDE w:val="0"/>
      <w:spacing w:before="0" w:after="0"/>
      <w:ind w:left="1002" w:hanging="576"/>
    </w:pPr>
    <w:rPr>
      <w:rFonts w:eastAsiaTheme="minorHAnsi"/>
      <w:b w:val="0"/>
      <w:color w:val="000000"/>
      <w:lang w:val="et-EE" w:eastAsia="en-US"/>
    </w:rPr>
  </w:style>
  <w:style w:type="paragraph" w:styleId="BodyText3">
    <w:name w:val="Body Text 3"/>
    <w:basedOn w:val="Normal"/>
    <w:link w:val="BodyText3Char"/>
    <w:uiPriority w:val="99"/>
    <w:unhideWhenUsed/>
    <w:rsid w:val="00E96C38"/>
    <w:pPr>
      <w:spacing w:after="120"/>
    </w:pPr>
    <w:rPr>
      <w:sz w:val="16"/>
      <w:szCs w:val="16"/>
    </w:rPr>
  </w:style>
  <w:style w:type="character" w:customStyle="1" w:styleId="BodyText3Char">
    <w:name w:val="Body Text 3 Char"/>
    <w:basedOn w:val="DefaultParagraphFont"/>
    <w:link w:val="BodyText3"/>
    <w:uiPriority w:val="99"/>
    <w:rsid w:val="00E96C38"/>
    <w:rPr>
      <w:rFonts w:ascii="Times New Roman" w:eastAsia="Times New Roman" w:hAnsi="Times New Roman" w:cs="Times New Roman"/>
      <w:sz w:val="16"/>
      <w:szCs w:val="16"/>
      <w:lang w:eastAsia="et-EE"/>
    </w:rPr>
  </w:style>
  <w:style w:type="table" w:styleId="TableGrid">
    <w:name w:val="Table Grid"/>
    <w:basedOn w:val="TableNormal"/>
    <w:uiPriority w:val="39"/>
    <w:rsid w:val="00757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itlejale">
    <w:name w:val="Küsitlejale"/>
    <w:basedOn w:val="Normal"/>
    <w:next w:val="Omnibussitekst"/>
    <w:link w:val="KsitlejaleChar1"/>
    <w:rsid w:val="00757C2F"/>
    <w:pPr>
      <w:spacing w:before="60" w:after="120" w:line="288" w:lineRule="auto"/>
    </w:pPr>
    <w:rPr>
      <w:rFonts w:ascii="Arial" w:hAnsi="Arial"/>
      <w:i/>
      <w:caps/>
      <w:color w:val="000000"/>
      <w:sz w:val="20"/>
      <w:lang w:eastAsia="en-US"/>
    </w:rPr>
  </w:style>
  <w:style w:type="paragraph" w:customStyle="1" w:styleId="Omnibussitekst">
    <w:name w:val="Omnibussi tekst"/>
    <w:rsid w:val="00757C2F"/>
    <w:pPr>
      <w:spacing w:after="0" w:line="240" w:lineRule="auto"/>
    </w:pPr>
    <w:rPr>
      <w:rFonts w:ascii="Times New Roman" w:eastAsia="Times New Roman" w:hAnsi="Times New Roman" w:cs="Times New Roman"/>
      <w:szCs w:val="20"/>
      <w:lang w:val="en-US"/>
    </w:rPr>
  </w:style>
  <w:style w:type="character" w:customStyle="1" w:styleId="KsitlejaleChar1">
    <w:name w:val="Küsitlejale Char1"/>
    <w:basedOn w:val="DefaultParagraphFont"/>
    <w:link w:val="Ksitlejale"/>
    <w:rsid w:val="00757C2F"/>
    <w:rPr>
      <w:rFonts w:ascii="Arial" w:eastAsia="Times New Roman" w:hAnsi="Arial" w:cs="Times New Roman"/>
      <w:i/>
      <w:caps/>
      <w:color w:val="000000"/>
      <w:sz w:val="20"/>
      <w:szCs w:val="24"/>
    </w:rPr>
  </w:style>
  <w:style w:type="paragraph" w:customStyle="1" w:styleId="Kysimus">
    <w:name w:val="Kysimus"/>
    <w:basedOn w:val="Normal"/>
    <w:next w:val="Omnibussitekst"/>
    <w:link w:val="KysimusChar"/>
    <w:rsid w:val="00757C2F"/>
    <w:pPr>
      <w:tabs>
        <w:tab w:val="left" w:pos="357"/>
      </w:tabs>
      <w:ind w:left="227" w:hanging="227"/>
    </w:pPr>
    <w:rPr>
      <w:b/>
      <w:sz w:val="22"/>
      <w:szCs w:val="20"/>
      <w:lang w:eastAsia="en-US"/>
    </w:rPr>
  </w:style>
  <w:style w:type="character" w:customStyle="1" w:styleId="KysimusChar">
    <w:name w:val="Kysimus Char"/>
    <w:basedOn w:val="DefaultParagraphFont"/>
    <w:link w:val="Kysimus"/>
    <w:rsid w:val="00757C2F"/>
    <w:rPr>
      <w:rFonts w:ascii="Times New Roman" w:eastAsia="Times New Roman" w:hAnsi="Times New Roman" w:cs="Times New Roman"/>
      <w:b/>
      <w:szCs w:val="20"/>
    </w:rPr>
  </w:style>
  <w:style w:type="paragraph" w:styleId="Revision">
    <w:name w:val="Revision"/>
    <w:hidden/>
    <w:uiPriority w:val="99"/>
    <w:semiHidden/>
    <w:rsid w:val="00C477E5"/>
    <w:pPr>
      <w:spacing w:after="0" w:line="240" w:lineRule="auto"/>
    </w:pPr>
    <w:rPr>
      <w:rFonts w:ascii="Times New Roman" w:eastAsia="Times New Roman" w:hAnsi="Times New Roman" w:cs="Times New Roman"/>
      <w:sz w:val="24"/>
      <w:szCs w:val="24"/>
      <w:lang w:eastAsia="et-EE"/>
    </w:rPr>
  </w:style>
  <w:style w:type="paragraph" w:customStyle="1" w:styleId="Normalbold">
    <w:name w:val="Normal_bold"/>
    <w:basedOn w:val="Normal"/>
    <w:next w:val="Normal"/>
    <w:rsid w:val="00B7378E"/>
    <w:pPr>
      <w:spacing w:after="240"/>
      <w:jc w:val="both"/>
    </w:pPr>
    <w:rPr>
      <w:b/>
      <w:szCs w:val="20"/>
      <w:lang w:val="fi-FI" w:eastAsia="en-US"/>
    </w:rPr>
  </w:style>
  <w:style w:type="paragraph" w:customStyle="1" w:styleId="StyleJustified">
    <w:name w:val="Style Justified"/>
    <w:basedOn w:val="Normal"/>
    <w:rsid w:val="00B7378E"/>
    <w:pPr>
      <w:spacing w:after="120"/>
      <w:jc w:val="both"/>
    </w:pPr>
    <w:rPr>
      <w:sz w:val="20"/>
      <w:szCs w:val="20"/>
      <w:lang w:eastAsia="en-US"/>
    </w:rPr>
  </w:style>
  <w:style w:type="paragraph" w:customStyle="1" w:styleId="Normal1">
    <w:name w:val="Normal1"/>
    <w:rsid w:val="00B7378E"/>
    <w:pPr>
      <w:pBdr>
        <w:top w:val="nil"/>
        <w:left w:val="nil"/>
        <w:bottom w:val="nil"/>
        <w:right w:val="nil"/>
        <w:between w:val="nil"/>
      </w:pBdr>
      <w:spacing w:after="200" w:line="276" w:lineRule="auto"/>
    </w:pPr>
    <w:rPr>
      <w:rFonts w:ascii="Calibri" w:eastAsia="Calibri" w:hAnsi="Calibri" w:cs="Calibri"/>
      <w:color w:val="000000"/>
      <w:lang w:eastAsia="et-EE"/>
    </w:rPr>
  </w:style>
  <w:style w:type="character" w:customStyle="1" w:styleId="Heading2Char">
    <w:name w:val="Heading 2 Char"/>
    <w:basedOn w:val="DefaultParagraphFont"/>
    <w:link w:val="Heading2"/>
    <w:uiPriority w:val="9"/>
    <w:rsid w:val="00344A02"/>
    <w:rPr>
      <w:rFonts w:asciiTheme="majorHAnsi" w:eastAsiaTheme="majorEastAsia" w:hAnsiTheme="majorHAnsi" w:cstheme="majorBidi"/>
      <w:color w:val="2E74B5" w:themeColor="accent1" w:themeShade="BF"/>
      <w:sz w:val="26"/>
      <w:szCs w:val="26"/>
    </w:rPr>
  </w:style>
  <w:style w:type="paragraph" w:styleId="BodyTextIndent3">
    <w:name w:val="Body Text Indent 3"/>
    <w:basedOn w:val="Normal"/>
    <w:link w:val="BodyTextIndent3Char"/>
    <w:uiPriority w:val="99"/>
    <w:unhideWhenUsed/>
    <w:rsid w:val="001A4C52"/>
    <w:pPr>
      <w:spacing w:after="120"/>
      <w:ind w:left="283"/>
    </w:pPr>
    <w:rPr>
      <w:sz w:val="16"/>
      <w:szCs w:val="16"/>
    </w:rPr>
  </w:style>
  <w:style w:type="character" w:customStyle="1" w:styleId="BodyTextIndent3Char">
    <w:name w:val="Body Text Indent 3 Char"/>
    <w:basedOn w:val="DefaultParagraphFont"/>
    <w:link w:val="BodyTextIndent3"/>
    <w:uiPriority w:val="99"/>
    <w:rsid w:val="001A4C52"/>
    <w:rPr>
      <w:rFonts w:ascii="Times New Roman" w:eastAsia="Times New Roman" w:hAnsi="Times New Roman" w:cs="Times New Roman"/>
      <w:sz w:val="16"/>
      <w:szCs w:val="16"/>
      <w:lang w:eastAsia="et-EE"/>
    </w:rPr>
  </w:style>
  <w:style w:type="paragraph" w:styleId="NormalWeb">
    <w:name w:val="Normal (Web)"/>
    <w:basedOn w:val="Normal"/>
    <w:uiPriority w:val="99"/>
    <w:unhideWhenUsed/>
    <w:rsid w:val="001A4C52"/>
    <w:pPr>
      <w:spacing w:before="100" w:beforeAutospacing="1" w:after="100" w:afterAutospacing="1"/>
    </w:pPr>
  </w:style>
  <w:style w:type="character" w:styleId="FollowedHyperlink">
    <w:name w:val="FollowedHyperlink"/>
    <w:basedOn w:val="DefaultParagraphFont"/>
    <w:uiPriority w:val="99"/>
    <w:semiHidden/>
    <w:unhideWhenUsed/>
    <w:rsid w:val="002E4B7E"/>
    <w:rPr>
      <w:color w:val="954F72" w:themeColor="followedHyperlink"/>
      <w:u w:val="single"/>
    </w:rPr>
  </w:style>
  <w:style w:type="character" w:styleId="UnresolvedMention">
    <w:name w:val="Unresolved Mention"/>
    <w:basedOn w:val="DefaultParagraphFont"/>
    <w:uiPriority w:val="99"/>
    <w:semiHidden/>
    <w:unhideWhenUsed/>
    <w:rsid w:val="009E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2111">
      <w:bodyDiv w:val="1"/>
      <w:marLeft w:val="0"/>
      <w:marRight w:val="0"/>
      <w:marTop w:val="0"/>
      <w:marBottom w:val="0"/>
      <w:divBdr>
        <w:top w:val="none" w:sz="0" w:space="0" w:color="auto"/>
        <w:left w:val="none" w:sz="0" w:space="0" w:color="auto"/>
        <w:bottom w:val="none" w:sz="0" w:space="0" w:color="auto"/>
        <w:right w:val="none" w:sz="0" w:space="0" w:color="auto"/>
      </w:divBdr>
    </w:div>
    <w:div w:id="684215287">
      <w:bodyDiv w:val="1"/>
      <w:marLeft w:val="0"/>
      <w:marRight w:val="0"/>
      <w:marTop w:val="0"/>
      <w:marBottom w:val="0"/>
      <w:divBdr>
        <w:top w:val="none" w:sz="0" w:space="0" w:color="auto"/>
        <w:left w:val="none" w:sz="0" w:space="0" w:color="auto"/>
        <w:bottom w:val="none" w:sz="0" w:space="0" w:color="auto"/>
        <w:right w:val="none" w:sz="0" w:space="0" w:color="auto"/>
      </w:divBdr>
    </w:div>
    <w:div w:id="876358591">
      <w:bodyDiv w:val="1"/>
      <w:marLeft w:val="0"/>
      <w:marRight w:val="0"/>
      <w:marTop w:val="0"/>
      <w:marBottom w:val="0"/>
      <w:divBdr>
        <w:top w:val="none" w:sz="0" w:space="0" w:color="auto"/>
        <w:left w:val="none" w:sz="0" w:space="0" w:color="auto"/>
        <w:bottom w:val="none" w:sz="0" w:space="0" w:color="auto"/>
        <w:right w:val="none" w:sz="0" w:space="0" w:color="auto"/>
      </w:divBdr>
    </w:div>
    <w:div w:id="991258553">
      <w:bodyDiv w:val="1"/>
      <w:marLeft w:val="0"/>
      <w:marRight w:val="0"/>
      <w:marTop w:val="0"/>
      <w:marBottom w:val="0"/>
      <w:divBdr>
        <w:top w:val="none" w:sz="0" w:space="0" w:color="auto"/>
        <w:left w:val="none" w:sz="0" w:space="0" w:color="auto"/>
        <w:bottom w:val="none" w:sz="0" w:space="0" w:color="auto"/>
        <w:right w:val="none" w:sz="0" w:space="0" w:color="auto"/>
      </w:divBdr>
    </w:div>
    <w:div w:id="1066538878">
      <w:bodyDiv w:val="1"/>
      <w:marLeft w:val="0"/>
      <w:marRight w:val="0"/>
      <w:marTop w:val="0"/>
      <w:marBottom w:val="0"/>
      <w:divBdr>
        <w:top w:val="none" w:sz="0" w:space="0" w:color="auto"/>
        <w:left w:val="none" w:sz="0" w:space="0" w:color="auto"/>
        <w:bottom w:val="none" w:sz="0" w:space="0" w:color="auto"/>
        <w:right w:val="none" w:sz="0" w:space="0" w:color="auto"/>
      </w:divBdr>
    </w:div>
    <w:div w:id="1560240612">
      <w:bodyDiv w:val="1"/>
      <w:marLeft w:val="0"/>
      <w:marRight w:val="0"/>
      <w:marTop w:val="0"/>
      <w:marBottom w:val="0"/>
      <w:divBdr>
        <w:top w:val="none" w:sz="0" w:space="0" w:color="auto"/>
        <w:left w:val="none" w:sz="0" w:space="0" w:color="auto"/>
        <w:bottom w:val="none" w:sz="0" w:space="0" w:color="auto"/>
        <w:right w:val="none" w:sz="0" w:space="0" w:color="auto"/>
      </w:divBdr>
    </w:div>
    <w:div w:id="20208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927A-1D25-4886-9813-7CC0610D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1971</Words>
  <Characters>11434</Characters>
  <Application>Microsoft Office Word</Application>
  <DocSecurity>0</DocSecurity>
  <Lines>95</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Signe-Maarja Kuljus</dc:creator>
  <cp:keywords/>
  <dc:description/>
  <cp:lastModifiedBy>Katre Illak</cp:lastModifiedBy>
  <cp:revision>3</cp:revision>
  <cp:lastPrinted>2014-12-05T07:13:00Z</cp:lastPrinted>
  <dcterms:created xsi:type="dcterms:W3CDTF">2023-09-12T08:53:00Z</dcterms:created>
  <dcterms:modified xsi:type="dcterms:W3CDTF">2023-09-12T08:54:00Z</dcterms:modified>
</cp:coreProperties>
</file>